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693AB6" w14:textId="77777777" w:rsidR="0051030C" w:rsidRPr="00621C8B" w:rsidRDefault="0051030C" w:rsidP="00621C8B">
      <w:pPr>
        <w:suppressAutoHyphens/>
        <w:spacing w:after="0" w:line="240" w:lineRule="auto"/>
        <w:jc w:val="center"/>
        <w:rPr>
          <w:rFonts w:ascii="Arial" w:eastAsia="Times New Roman" w:hAnsi="Arial" w:cs="Arial"/>
          <w:sz w:val="24"/>
          <w:szCs w:val="24"/>
          <w:lang w:val="fr-CA" w:eastAsia="zh-CN"/>
        </w:rPr>
      </w:pPr>
    </w:p>
    <w:p w14:paraId="25FE5A92" w14:textId="77777777" w:rsidR="00621C8B" w:rsidRPr="00632FAA" w:rsidRDefault="00621C8B" w:rsidP="00632FAA">
      <w:pPr>
        <w:suppressAutoHyphens/>
        <w:spacing w:after="0" w:line="240" w:lineRule="auto"/>
        <w:jc w:val="center"/>
        <w:rPr>
          <w:rFonts w:ascii="Arial" w:eastAsia="Times New Roman" w:hAnsi="Arial" w:cs="Arial"/>
          <w:b/>
          <w:iCs/>
          <w:color w:val="000080"/>
          <w:sz w:val="20"/>
          <w:szCs w:val="20"/>
          <w:lang w:val="fr-CA" w:eastAsia="zh-CN"/>
        </w:rPr>
      </w:pPr>
      <w:r w:rsidRPr="00621C8B">
        <w:rPr>
          <w:rFonts w:ascii="Arial" w:eastAsia="Times New Roman" w:hAnsi="Arial" w:cs="Arial"/>
          <w:b/>
          <w:iCs/>
          <w:color w:val="000080"/>
          <w:sz w:val="20"/>
          <w:szCs w:val="20"/>
          <w:lang w:val="fr-CA" w:eastAsia="zh-CN"/>
        </w:rPr>
        <w:t>BOURSES DE RECHERCHE DOCTORALE ET</w:t>
      </w:r>
      <w:r w:rsidRPr="00621C8B">
        <w:rPr>
          <w:rFonts w:ascii="Arial" w:eastAsia="Arial" w:hAnsi="Arial" w:cs="Arial"/>
          <w:b/>
          <w:iCs/>
          <w:color w:val="000080"/>
          <w:sz w:val="20"/>
          <w:szCs w:val="20"/>
          <w:lang w:val="fr-CA" w:eastAsia="zh-CN"/>
        </w:rPr>
        <w:t xml:space="preserve"> </w:t>
      </w:r>
      <w:r w:rsidRPr="00621C8B">
        <w:rPr>
          <w:rFonts w:ascii="Arial" w:eastAsia="Times New Roman" w:hAnsi="Arial" w:cs="Arial"/>
          <w:b/>
          <w:iCs/>
          <w:color w:val="000080"/>
          <w:sz w:val="20"/>
          <w:szCs w:val="20"/>
          <w:lang w:val="fr-CA" w:eastAsia="zh-CN"/>
        </w:rPr>
        <w:t xml:space="preserve">POSTDOCTORALE « EUGEN IONESCU » </w:t>
      </w:r>
    </w:p>
    <w:p w14:paraId="6FE43B42" w14:textId="21C23416" w:rsidR="00BB551C" w:rsidRPr="00BB551C" w:rsidRDefault="00621C8B" w:rsidP="00BB551C">
      <w:pPr>
        <w:suppressAutoHyphens/>
        <w:spacing w:after="0" w:line="240" w:lineRule="auto"/>
        <w:jc w:val="center"/>
        <w:rPr>
          <w:rFonts w:ascii="Arial" w:eastAsia="Times New Roman" w:hAnsi="Arial" w:cs="Arial"/>
          <w:b/>
          <w:bCs/>
          <w:color w:val="000080"/>
          <w:sz w:val="20"/>
          <w:szCs w:val="20"/>
          <w:lang w:val="fr-CA" w:eastAsia="zh-CN"/>
        </w:rPr>
      </w:pPr>
      <w:r w:rsidRPr="00621C8B">
        <w:rPr>
          <w:rFonts w:ascii="Arial" w:eastAsia="Times New Roman" w:hAnsi="Arial" w:cs="Arial"/>
          <w:b/>
          <w:bCs/>
          <w:color w:val="000080"/>
          <w:sz w:val="20"/>
          <w:szCs w:val="20"/>
          <w:lang w:val="fr-CA" w:eastAsia="zh-CN"/>
        </w:rPr>
        <w:t>20</w:t>
      </w:r>
      <w:r w:rsidR="00480EFB">
        <w:rPr>
          <w:rFonts w:ascii="Arial" w:eastAsia="Times New Roman" w:hAnsi="Arial" w:cs="Arial"/>
          <w:b/>
          <w:bCs/>
          <w:color w:val="000080"/>
          <w:sz w:val="20"/>
          <w:szCs w:val="20"/>
          <w:lang w:val="fr-CA" w:eastAsia="zh-CN"/>
        </w:rPr>
        <w:t>20</w:t>
      </w:r>
      <w:r w:rsidR="00BB551C">
        <w:rPr>
          <w:rFonts w:ascii="Arial" w:eastAsia="Times New Roman" w:hAnsi="Arial" w:cs="Arial"/>
          <w:b/>
          <w:bCs/>
          <w:color w:val="000080"/>
          <w:sz w:val="20"/>
          <w:szCs w:val="20"/>
          <w:lang w:val="fr-CA" w:eastAsia="zh-CN"/>
        </w:rPr>
        <w:t>-2021</w:t>
      </w:r>
    </w:p>
    <w:p w14:paraId="5D2DB7D9" w14:textId="77777777" w:rsidR="00621C8B" w:rsidRPr="00621C8B" w:rsidRDefault="00621C8B" w:rsidP="00621C8B">
      <w:pPr>
        <w:suppressAutoHyphens/>
        <w:spacing w:after="0" w:line="240" w:lineRule="auto"/>
        <w:jc w:val="center"/>
        <w:rPr>
          <w:rFonts w:ascii="Arial" w:eastAsia="Times New Roman" w:hAnsi="Arial" w:cs="Arial"/>
          <w:color w:val="000080"/>
          <w:sz w:val="20"/>
          <w:szCs w:val="20"/>
          <w:lang w:val="fr-CA" w:eastAsia="zh-CN"/>
        </w:rPr>
      </w:pPr>
    </w:p>
    <w:p w14:paraId="3DF2D52D" w14:textId="77777777" w:rsidR="00621C8B" w:rsidRPr="00621C8B" w:rsidRDefault="00621C8B" w:rsidP="00621C8B">
      <w:pPr>
        <w:suppressAutoHyphens/>
        <w:spacing w:after="0" w:line="240" w:lineRule="auto"/>
        <w:jc w:val="center"/>
        <w:rPr>
          <w:rFonts w:ascii="Arial" w:eastAsia="Times New Roman" w:hAnsi="Arial" w:cs="Arial"/>
          <w:sz w:val="24"/>
          <w:szCs w:val="24"/>
          <w:lang w:val="fr-CA" w:eastAsia="zh-CN"/>
        </w:rPr>
      </w:pPr>
      <w:r w:rsidRPr="00621C8B">
        <w:rPr>
          <w:rFonts w:ascii="Arial" w:eastAsia="Times New Roman" w:hAnsi="Arial" w:cs="Arial"/>
          <w:b/>
          <w:bCs/>
          <w:color w:val="000080"/>
          <w:sz w:val="20"/>
          <w:szCs w:val="20"/>
          <w:lang w:val="fr-CA" w:eastAsia="zh-CN"/>
        </w:rPr>
        <w:t>Document de présentation</w:t>
      </w:r>
    </w:p>
    <w:p w14:paraId="27E8F4EB" w14:textId="77777777" w:rsidR="00621C8B" w:rsidRPr="00621C8B" w:rsidRDefault="00621C8B" w:rsidP="00621C8B">
      <w:pPr>
        <w:suppressAutoHyphens/>
        <w:spacing w:after="0" w:line="240" w:lineRule="auto"/>
        <w:jc w:val="both"/>
        <w:rPr>
          <w:rFonts w:ascii="Arial" w:eastAsia="Times New Roman" w:hAnsi="Arial" w:cs="Arial"/>
          <w:b/>
          <w:bCs/>
          <w:color w:val="000080"/>
          <w:lang w:val="fr-CA" w:eastAsia="zh-CN"/>
        </w:rPr>
      </w:pPr>
    </w:p>
    <w:p w14:paraId="2F089F7B" w14:textId="77777777" w:rsidR="00621C8B" w:rsidRPr="00621C8B" w:rsidRDefault="00621C8B" w:rsidP="00621C8B">
      <w:pPr>
        <w:suppressAutoHyphens/>
        <w:spacing w:after="0" w:line="240" w:lineRule="auto"/>
        <w:jc w:val="both"/>
        <w:rPr>
          <w:rFonts w:ascii="Times New Roman" w:eastAsia="Times New Roman" w:hAnsi="Times New Roman" w:cs="Times New Roman"/>
          <w:sz w:val="24"/>
          <w:szCs w:val="24"/>
          <w:lang w:eastAsia="zh-CN"/>
        </w:rPr>
      </w:pPr>
      <w:r w:rsidRPr="00621C8B">
        <w:rPr>
          <w:rFonts w:ascii="Arial" w:eastAsia="Times New Roman" w:hAnsi="Arial" w:cs="Arial"/>
          <w:sz w:val="18"/>
          <w:szCs w:val="18"/>
          <w:lang w:eastAsia="zh-CN"/>
        </w:rPr>
        <w:t>Ce document présente des informations sur le programme de bourses « Eugen Ionescu », mis en place par le Gouvernement de la Roumanie à la suite du XI</w:t>
      </w:r>
      <w:r w:rsidRPr="00621C8B">
        <w:rPr>
          <w:rFonts w:ascii="Arial" w:eastAsia="Times New Roman" w:hAnsi="Arial" w:cs="Arial"/>
          <w:sz w:val="18"/>
          <w:szCs w:val="18"/>
          <w:vertAlign w:val="superscript"/>
          <w:lang w:eastAsia="zh-CN"/>
        </w:rPr>
        <w:t>ème</w:t>
      </w:r>
      <w:r w:rsidRPr="00621C8B">
        <w:rPr>
          <w:rFonts w:ascii="Arial" w:eastAsia="Times New Roman" w:hAnsi="Arial" w:cs="Arial"/>
          <w:sz w:val="18"/>
          <w:szCs w:val="18"/>
          <w:lang w:eastAsia="zh-CN"/>
        </w:rPr>
        <w:t xml:space="preserve"> Sommet de la Francophonie.</w:t>
      </w:r>
    </w:p>
    <w:p w14:paraId="78DB0FCA" w14:textId="77777777" w:rsidR="00621C8B" w:rsidRPr="00621C8B" w:rsidRDefault="00621C8B" w:rsidP="00621C8B">
      <w:pPr>
        <w:suppressAutoHyphens/>
        <w:spacing w:after="0" w:line="240" w:lineRule="auto"/>
        <w:jc w:val="both"/>
        <w:rPr>
          <w:rFonts w:ascii="Times New Roman" w:eastAsia="Times New Roman" w:hAnsi="Times New Roman" w:cs="Times New Roman"/>
          <w:sz w:val="24"/>
          <w:szCs w:val="24"/>
          <w:lang w:eastAsia="zh-CN"/>
        </w:rPr>
      </w:pPr>
      <w:r w:rsidRPr="00621C8B">
        <w:rPr>
          <w:rFonts w:ascii="Arial" w:eastAsia="Times New Roman" w:hAnsi="Arial" w:cs="Arial"/>
          <w:sz w:val="18"/>
          <w:szCs w:val="18"/>
          <w:lang w:eastAsia="zh-CN"/>
        </w:rPr>
        <w:t>Il contient également les informations nécessaires pour le dépôt d’une demande de bourse de doctorat ou de postdoctorat dans le cadre de ce programme.</w:t>
      </w:r>
    </w:p>
    <w:p w14:paraId="06F9BDFC" w14:textId="77777777" w:rsidR="00621C8B" w:rsidRPr="00621C8B" w:rsidRDefault="00621C8B" w:rsidP="00621C8B">
      <w:pPr>
        <w:suppressAutoHyphens/>
        <w:spacing w:after="0" w:line="240" w:lineRule="auto"/>
        <w:jc w:val="both"/>
        <w:rPr>
          <w:rFonts w:ascii="Arial" w:eastAsia="Times New Roman" w:hAnsi="Arial" w:cs="Arial"/>
          <w:sz w:val="18"/>
          <w:szCs w:val="18"/>
          <w:lang w:eastAsia="zh-CN"/>
        </w:rPr>
      </w:pPr>
    </w:p>
    <w:p w14:paraId="35FA1AEE" w14:textId="77777777" w:rsidR="00621C8B" w:rsidRPr="00621C8B" w:rsidRDefault="00621C8B" w:rsidP="00621C8B">
      <w:pPr>
        <w:suppressAutoHyphens/>
        <w:spacing w:after="0" w:line="240" w:lineRule="auto"/>
        <w:jc w:val="both"/>
        <w:rPr>
          <w:rFonts w:ascii="Times New Roman" w:eastAsia="Times New Roman" w:hAnsi="Times New Roman" w:cs="Times New Roman"/>
          <w:sz w:val="24"/>
          <w:szCs w:val="24"/>
          <w:lang w:eastAsia="zh-CN"/>
        </w:rPr>
      </w:pPr>
      <w:r w:rsidRPr="00621C8B">
        <w:rPr>
          <w:rFonts w:ascii="Arial" w:eastAsia="Times New Roman" w:hAnsi="Arial" w:cs="Arial"/>
          <w:sz w:val="18"/>
          <w:szCs w:val="18"/>
          <w:lang w:eastAsia="zh-CN"/>
        </w:rPr>
        <w:t>L’appel à candidatures pour les bourses « Eugen Ionescu » est composé des documents suivants :</w:t>
      </w:r>
    </w:p>
    <w:p w14:paraId="56E7E0A5" w14:textId="77777777" w:rsidR="00621C8B" w:rsidRPr="00621C8B" w:rsidRDefault="00621C8B" w:rsidP="00621C8B">
      <w:pPr>
        <w:numPr>
          <w:ilvl w:val="0"/>
          <w:numId w:val="1"/>
        </w:numPr>
        <w:suppressAutoHyphens/>
        <w:spacing w:after="0" w:line="240" w:lineRule="auto"/>
        <w:jc w:val="both"/>
        <w:rPr>
          <w:rFonts w:ascii="Times New Roman" w:eastAsia="Times New Roman" w:hAnsi="Times New Roman" w:cs="Times New Roman"/>
          <w:sz w:val="24"/>
          <w:szCs w:val="24"/>
          <w:lang w:eastAsia="zh-CN"/>
        </w:rPr>
      </w:pPr>
      <w:r w:rsidRPr="00621C8B">
        <w:rPr>
          <w:rFonts w:ascii="Arial" w:eastAsia="Times New Roman" w:hAnsi="Arial" w:cs="Arial"/>
          <w:sz w:val="18"/>
          <w:szCs w:val="18"/>
          <w:lang w:eastAsia="zh-CN"/>
        </w:rPr>
        <w:t>le règlement pour chaque type de bourse ;</w:t>
      </w:r>
    </w:p>
    <w:p w14:paraId="18A1FF06" w14:textId="77777777" w:rsidR="00621C8B" w:rsidRPr="00621C8B" w:rsidRDefault="00621C8B" w:rsidP="00621C8B">
      <w:pPr>
        <w:numPr>
          <w:ilvl w:val="0"/>
          <w:numId w:val="1"/>
        </w:numPr>
        <w:suppressAutoHyphens/>
        <w:spacing w:after="0" w:line="240" w:lineRule="auto"/>
        <w:jc w:val="both"/>
        <w:rPr>
          <w:rFonts w:ascii="Times New Roman" w:eastAsia="Times New Roman" w:hAnsi="Times New Roman" w:cs="Times New Roman"/>
          <w:sz w:val="24"/>
          <w:szCs w:val="24"/>
          <w:lang w:eastAsia="zh-CN"/>
        </w:rPr>
      </w:pPr>
      <w:r w:rsidRPr="00621C8B">
        <w:rPr>
          <w:rFonts w:ascii="Arial" w:eastAsia="Times New Roman" w:hAnsi="Arial" w:cs="Arial"/>
          <w:sz w:val="18"/>
          <w:szCs w:val="18"/>
          <w:lang w:eastAsia="zh-CN"/>
        </w:rPr>
        <w:t xml:space="preserve">le formulaire de demande de bourse à remplir en ligne ; </w:t>
      </w:r>
    </w:p>
    <w:p w14:paraId="19C13DEF" w14:textId="5017707D" w:rsidR="00621C8B" w:rsidRPr="00621C8B" w:rsidRDefault="00A26325" w:rsidP="00621C8B">
      <w:pPr>
        <w:numPr>
          <w:ilvl w:val="0"/>
          <w:numId w:val="1"/>
        </w:numPr>
        <w:suppressAutoHyphens/>
        <w:spacing w:after="0" w:line="240" w:lineRule="auto"/>
        <w:jc w:val="both"/>
        <w:rPr>
          <w:rFonts w:ascii="Times New Roman" w:eastAsia="Times New Roman" w:hAnsi="Times New Roman" w:cs="Times New Roman"/>
          <w:sz w:val="24"/>
          <w:szCs w:val="24"/>
          <w:lang w:eastAsia="zh-CN"/>
        </w:rPr>
      </w:pPr>
      <w:r>
        <w:rPr>
          <w:rFonts w:ascii="Arial" w:eastAsia="Times New Roman" w:hAnsi="Arial" w:cs="Arial"/>
          <w:sz w:val="18"/>
          <w:szCs w:val="18"/>
          <w:lang w:eastAsia="zh-CN"/>
        </w:rPr>
        <w:t xml:space="preserve">le </w:t>
      </w:r>
      <w:r w:rsidR="00621C8B" w:rsidRPr="00621C8B">
        <w:rPr>
          <w:rFonts w:ascii="Arial" w:eastAsia="Times New Roman" w:hAnsi="Arial" w:cs="Arial"/>
          <w:sz w:val="18"/>
          <w:szCs w:val="18"/>
          <w:lang w:eastAsia="zh-CN"/>
        </w:rPr>
        <w:t>modèle de projet de recherche (pour le doctorat) ;</w:t>
      </w:r>
    </w:p>
    <w:p w14:paraId="2571A882" w14:textId="7EE70F65" w:rsidR="00621C8B" w:rsidRPr="00621C8B" w:rsidRDefault="00A26325" w:rsidP="00621C8B">
      <w:pPr>
        <w:numPr>
          <w:ilvl w:val="0"/>
          <w:numId w:val="1"/>
        </w:numPr>
        <w:suppressAutoHyphens/>
        <w:spacing w:after="0" w:line="240" w:lineRule="auto"/>
        <w:jc w:val="both"/>
        <w:rPr>
          <w:rFonts w:ascii="Times New Roman" w:eastAsia="Times New Roman" w:hAnsi="Times New Roman" w:cs="Times New Roman"/>
          <w:sz w:val="24"/>
          <w:szCs w:val="24"/>
          <w:lang w:eastAsia="zh-CN"/>
        </w:rPr>
      </w:pPr>
      <w:r>
        <w:rPr>
          <w:rFonts w:ascii="Arial" w:eastAsia="Times New Roman" w:hAnsi="Arial" w:cs="Arial"/>
          <w:sz w:val="18"/>
          <w:szCs w:val="18"/>
          <w:lang w:eastAsia="zh-CN"/>
        </w:rPr>
        <w:t xml:space="preserve">les </w:t>
      </w:r>
      <w:r w:rsidR="00621C8B" w:rsidRPr="00621C8B">
        <w:rPr>
          <w:rFonts w:ascii="Arial" w:eastAsia="Times New Roman" w:hAnsi="Arial" w:cs="Arial"/>
          <w:sz w:val="18"/>
          <w:szCs w:val="18"/>
          <w:lang w:eastAsia="zh-CN"/>
        </w:rPr>
        <w:t>modèles d'attestation d'accord des établissements d'origine et d'accueil ;</w:t>
      </w:r>
    </w:p>
    <w:p w14:paraId="145A3CED" w14:textId="77777777" w:rsidR="00621C8B" w:rsidRPr="00621C8B" w:rsidRDefault="00621C8B" w:rsidP="00621C8B">
      <w:pPr>
        <w:numPr>
          <w:ilvl w:val="0"/>
          <w:numId w:val="1"/>
        </w:numPr>
        <w:suppressAutoHyphens/>
        <w:spacing w:after="0" w:line="240" w:lineRule="auto"/>
        <w:jc w:val="both"/>
        <w:rPr>
          <w:rFonts w:ascii="Times New Roman" w:eastAsia="Times New Roman" w:hAnsi="Times New Roman" w:cs="Times New Roman"/>
          <w:sz w:val="24"/>
          <w:szCs w:val="24"/>
          <w:lang w:eastAsia="zh-CN"/>
        </w:rPr>
      </w:pPr>
      <w:r w:rsidRPr="00621C8B">
        <w:rPr>
          <w:rFonts w:ascii="Arial" w:eastAsia="Times New Roman" w:hAnsi="Arial" w:cs="Arial"/>
          <w:sz w:val="18"/>
          <w:szCs w:val="18"/>
          <w:lang w:eastAsia="zh-CN"/>
        </w:rPr>
        <w:t>la liste des établissements d’accueil roumains qui participent au programme (document commun pour les deux types des bourses).</w:t>
      </w:r>
    </w:p>
    <w:p w14:paraId="64DFFE54" w14:textId="77777777" w:rsidR="00621C8B" w:rsidRPr="00621C8B" w:rsidRDefault="00621C8B" w:rsidP="00621C8B">
      <w:pPr>
        <w:suppressAutoHyphens/>
        <w:spacing w:after="0" w:line="240" w:lineRule="auto"/>
        <w:jc w:val="both"/>
        <w:rPr>
          <w:rFonts w:ascii="Arial" w:eastAsia="Times New Roman" w:hAnsi="Arial" w:cs="Arial"/>
          <w:sz w:val="18"/>
          <w:szCs w:val="18"/>
          <w:lang w:eastAsia="zh-CN"/>
        </w:rPr>
      </w:pPr>
    </w:p>
    <w:p w14:paraId="002CB922" w14:textId="1C97F0DF" w:rsidR="00621C8B" w:rsidRPr="00621C8B" w:rsidRDefault="00621C8B" w:rsidP="00621C8B">
      <w:pPr>
        <w:suppressAutoHyphens/>
        <w:spacing w:after="0" w:line="240" w:lineRule="auto"/>
        <w:jc w:val="both"/>
        <w:rPr>
          <w:rFonts w:ascii="Times New Roman" w:eastAsia="Times New Roman" w:hAnsi="Times New Roman" w:cs="Times New Roman"/>
          <w:sz w:val="24"/>
          <w:szCs w:val="24"/>
          <w:lang w:eastAsia="zh-CN"/>
        </w:rPr>
      </w:pPr>
      <w:r w:rsidRPr="00621C8B">
        <w:rPr>
          <w:rFonts w:ascii="Arial" w:eastAsia="Times New Roman" w:hAnsi="Arial" w:cs="Arial"/>
          <w:sz w:val="18"/>
          <w:szCs w:val="18"/>
          <w:lang w:eastAsia="zh-CN"/>
        </w:rPr>
        <w:t>Ces documents sont téléchargeables à partir du site internet de l’Agence universitaire de la Francophonie</w:t>
      </w:r>
      <w:r w:rsidR="001C7BF3">
        <w:rPr>
          <w:rFonts w:ascii="Arial" w:eastAsia="Times New Roman" w:hAnsi="Arial" w:cs="Arial"/>
          <w:sz w:val="18"/>
          <w:szCs w:val="18"/>
          <w:lang w:eastAsia="zh-CN"/>
        </w:rPr>
        <w:t xml:space="preserve"> en Europe centrale et orientale</w:t>
      </w:r>
      <w:r w:rsidRPr="00621C8B">
        <w:rPr>
          <w:rFonts w:ascii="Arial" w:eastAsia="Times New Roman" w:hAnsi="Arial" w:cs="Arial"/>
          <w:sz w:val="18"/>
          <w:szCs w:val="18"/>
          <w:lang w:eastAsia="zh-CN"/>
        </w:rPr>
        <w:t xml:space="preserve"> : </w:t>
      </w:r>
      <w:r w:rsidR="00480EFB" w:rsidRPr="00480EFB">
        <w:rPr>
          <w:rFonts w:ascii="Arial" w:eastAsia="Times New Roman" w:hAnsi="Arial" w:cs="Arial"/>
          <w:color w:val="0000FF"/>
          <w:sz w:val="18"/>
          <w:szCs w:val="18"/>
          <w:u w:val="single"/>
          <w:lang w:eastAsia="zh-CN"/>
        </w:rPr>
        <w:t>https://www.auf.org/europe-centrale-orientale/nouvelles/appels-a-candidatures/</w:t>
      </w:r>
    </w:p>
    <w:p w14:paraId="4EC6EDF2" w14:textId="77777777" w:rsidR="00621C8B" w:rsidRPr="00621C8B" w:rsidRDefault="00621C8B" w:rsidP="00621C8B">
      <w:pPr>
        <w:suppressAutoHyphens/>
        <w:spacing w:after="0" w:line="240" w:lineRule="auto"/>
        <w:jc w:val="both"/>
        <w:rPr>
          <w:rFonts w:ascii="Arial" w:eastAsia="Times New Roman" w:hAnsi="Arial" w:cs="Arial"/>
          <w:b/>
          <w:bCs/>
          <w:color w:val="0000FF"/>
          <w:sz w:val="18"/>
          <w:szCs w:val="18"/>
          <w:u w:val="single"/>
          <w:lang w:eastAsia="zh-CN"/>
        </w:rPr>
      </w:pPr>
    </w:p>
    <w:p w14:paraId="40A33748" w14:textId="77777777" w:rsidR="00621C8B" w:rsidRPr="00621C8B" w:rsidRDefault="00621C8B" w:rsidP="00621C8B">
      <w:pPr>
        <w:suppressAutoHyphens/>
        <w:spacing w:after="120" w:line="240" w:lineRule="auto"/>
        <w:jc w:val="both"/>
        <w:rPr>
          <w:rFonts w:ascii="Times New Roman" w:eastAsia="Times New Roman" w:hAnsi="Times New Roman" w:cs="Times New Roman"/>
          <w:sz w:val="24"/>
          <w:szCs w:val="24"/>
          <w:lang w:eastAsia="zh-CN"/>
        </w:rPr>
      </w:pPr>
      <w:r w:rsidRPr="00621C8B">
        <w:rPr>
          <w:rFonts w:ascii="Arial" w:eastAsia="Times New Roman" w:hAnsi="Arial" w:cs="Arial"/>
          <w:b/>
          <w:bCs/>
          <w:sz w:val="18"/>
          <w:szCs w:val="18"/>
          <w:lang w:eastAsia="zh-CN"/>
        </w:rPr>
        <w:t>Cadre général – XIe Sommet de la Francophonie – Déclaration de Bucarest</w:t>
      </w:r>
    </w:p>
    <w:p w14:paraId="508C8944" w14:textId="77777777" w:rsidR="00621C8B" w:rsidRPr="00621C8B" w:rsidRDefault="00621C8B" w:rsidP="00621C8B">
      <w:pPr>
        <w:suppressAutoHyphens/>
        <w:spacing w:after="120" w:line="240" w:lineRule="auto"/>
        <w:jc w:val="both"/>
        <w:rPr>
          <w:rFonts w:ascii="Times New Roman" w:eastAsia="Times New Roman" w:hAnsi="Times New Roman" w:cs="Times New Roman"/>
          <w:sz w:val="24"/>
          <w:szCs w:val="24"/>
          <w:lang w:eastAsia="zh-CN"/>
        </w:rPr>
      </w:pPr>
      <w:r w:rsidRPr="00621C8B">
        <w:rPr>
          <w:rFonts w:ascii="Arial" w:eastAsia="Times New Roman" w:hAnsi="Arial" w:cs="Arial"/>
          <w:sz w:val="18"/>
          <w:szCs w:val="18"/>
          <w:lang w:eastAsia="zh-CN"/>
        </w:rPr>
        <w:t xml:space="preserve">En septembre 2006, la Roumanie a été le pays hôte du XIe Sommet de la Francophonie. Le thème du Sommet, « Technologies de l’information dans l’éducation », a suscité un vif intérêt de la part de tous les pays membres de l’Organisation internationale de la Francophonie. </w:t>
      </w:r>
    </w:p>
    <w:p w14:paraId="3A7AD3D0" w14:textId="77777777" w:rsidR="003357F2" w:rsidRDefault="00621C8B" w:rsidP="00621C8B">
      <w:pPr>
        <w:suppressAutoHyphens/>
        <w:spacing w:after="120" w:line="240" w:lineRule="auto"/>
        <w:jc w:val="both"/>
        <w:rPr>
          <w:rFonts w:ascii="Arial" w:eastAsia="Times New Roman" w:hAnsi="Arial" w:cs="Arial"/>
          <w:sz w:val="18"/>
          <w:szCs w:val="18"/>
          <w:lang w:eastAsia="zh-CN"/>
        </w:rPr>
      </w:pPr>
      <w:r w:rsidRPr="00621C8B">
        <w:rPr>
          <w:rFonts w:ascii="Arial" w:eastAsia="Times New Roman" w:hAnsi="Arial" w:cs="Arial"/>
          <w:sz w:val="18"/>
          <w:szCs w:val="18"/>
          <w:lang w:eastAsia="zh-CN"/>
        </w:rPr>
        <w:t xml:space="preserve">La Roumanie s’est proposé de marquer de manière durable la première Réunion des chefs d'État et de gouvernement ayant le français en partage, organisée en Europe centrale et orientale. L’article 35 de la Déclaration adoptée à Bucarest marque précisément l’adhésion des pays membres à l’initiative roumaine. La Roumanie soutient une utilisation centralisée et pragmatique des ressources universitaires de l’Europe centrale et orientale, tout en se fondant sur l’expertise de l’Agence universitaire de la Francophonie. </w:t>
      </w:r>
    </w:p>
    <w:p w14:paraId="151CB1CD" w14:textId="77777777" w:rsidR="003357F2" w:rsidRPr="003357F2" w:rsidRDefault="003357F2" w:rsidP="00621C8B">
      <w:pPr>
        <w:suppressAutoHyphens/>
        <w:spacing w:after="120" w:line="240" w:lineRule="auto"/>
        <w:jc w:val="both"/>
        <w:rPr>
          <w:rFonts w:ascii="Arial" w:eastAsia="Times New Roman" w:hAnsi="Arial" w:cs="Arial"/>
          <w:sz w:val="18"/>
          <w:szCs w:val="18"/>
          <w:lang w:eastAsia="zh-CN"/>
        </w:rPr>
      </w:pPr>
    </w:p>
    <w:p w14:paraId="08DDB3C8" w14:textId="77777777" w:rsidR="003357F2" w:rsidRPr="003357F2" w:rsidRDefault="00621C8B" w:rsidP="00621C8B">
      <w:pPr>
        <w:suppressAutoHyphens/>
        <w:spacing w:after="120" w:line="240" w:lineRule="auto"/>
        <w:jc w:val="both"/>
        <w:rPr>
          <w:rFonts w:ascii="Arial" w:eastAsia="Times New Roman" w:hAnsi="Arial" w:cs="Arial"/>
          <w:b/>
          <w:bCs/>
          <w:sz w:val="18"/>
          <w:szCs w:val="18"/>
          <w:lang w:eastAsia="zh-CN"/>
        </w:rPr>
      </w:pPr>
      <w:r w:rsidRPr="00621C8B">
        <w:rPr>
          <w:rFonts w:ascii="Arial" w:eastAsia="Times New Roman" w:hAnsi="Arial" w:cs="Arial"/>
          <w:b/>
          <w:bCs/>
          <w:sz w:val="18"/>
          <w:szCs w:val="18"/>
          <w:lang w:eastAsia="zh-CN"/>
        </w:rPr>
        <w:t>Programme de bourses doctorales et postdoctorales « Eugen Ionescu »</w:t>
      </w:r>
    </w:p>
    <w:p w14:paraId="3C46BCE0" w14:textId="25EFFCB3" w:rsidR="00621C8B" w:rsidRPr="00621C8B" w:rsidRDefault="00621C8B" w:rsidP="00621C8B">
      <w:pPr>
        <w:suppressAutoHyphens/>
        <w:spacing w:after="120" w:line="240" w:lineRule="auto"/>
        <w:jc w:val="both"/>
        <w:rPr>
          <w:rFonts w:ascii="Times New Roman" w:eastAsia="Times New Roman" w:hAnsi="Times New Roman" w:cs="Times New Roman"/>
          <w:sz w:val="24"/>
          <w:szCs w:val="24"/>
          <w:lang w:eastAsia="zh-CN"/>
        </w:rPr>
      </w:pPr>
      <w:r w:rsidRPr="00621C8B">
        <w:rPr>
          <w:rFonts w:ascii="Arial" w:eastAsia="Times New Roman" w:hAnsi="Arial" w:cs="Arial"/>
          <w:sz w:val="18"/>
          <w:szCs w:val="18"/>
          <w:lang w:eastAsia="zh-CN"/>
        </w:rPr>
        <w:t>Le 23 mai 2007, le Gouvernement de la Roumanie a adopté l’arrêté concernant la création du système de bourses d’études doctorales et de postdoctorat « Eugen Ionescu » pour les ressortissants étrangers accueillis au sein des institutions d’enseignement supérieur de Roumanie, membres de l’Agence universitaire de la Francophonie.</w:t>
      </w:r>
      <w:r w:rsidR="00123BE4">
        <w:rPr>
          <w:rFonts w:ascii="Arial" w:eastAsia="Times New Roman" w:hAnsi="Arial" w:cs="Arial"/>
          <w:sz w:val="18"/>
          <w:szCs w:val="18"/>
          <w:lang w:eastAsia="zh-CN"/>
        </w:rPr>
        <w:t xml:space="preserve"> </w:t>
      </w:r>
      <w:r w:rsidR="00BC1AE7">
        <w:rPr>
          <w:rFonts w:ascii="Arial" w:eastAsia="Times New Roman" w:hAnsi="Arial" w:cs="Arial"/>
          <w:sz w:val="18"/>
          <w:szCs w:val="18"/>
          <w:lang w:eastAsia="zh-CN"/>
        </w:rPr>
        <w:t>Le programme est coordonné par le Ministère des Affaires Etrangères de la Roumanie</w:t>
      </w:r>
      <w:r w:rsidR="00B52378">
        <w:rPr>
          <w:rFonts w:ascii="Arial" w:eastAsia="Times New Roman" w:hAnsi="Arial" w:cs="Arial"/>
          <w:sz w:val="18"/>
          <w:szCs w:val="18"/>
          <w:lang w:eastAsia="zh-CN"/>
        </w:rPr>
        <w:t xml:space="preserve"> qui en assure également le financement.</w:t>
      </w:r>
    </w:p>
    <w:p w14:paraId="00C8A037" w14:textId="0C0049B2" w:rsidR="00621C8B" w:rsidRPr="00621C8B" w:rsidRDefault="00621C8B" w:rsidP="00621C8B">
      <w:pPr>
        <w:suppressAutoHyphens/>
        <w:spacing w:after="120" w:line="240" w:lineRule="auto"/>
        <w:jc w:val="both"/>
        <w:rPr>
          <w:rFonts w:ascii="Times New Roman" w:eastAsia="Times New Roman" w:hAnsi="Times New Roman" w:cs="Times New Roman"/>
          <w:sz w:val="24"/>
          <w:szCs w:val="24"/>
          <w:lang w:eastAsia="zh-CN"/>
        </w:rPr>
      </w:pPr>
      <w:r w:rsidRPr="00621C8B">
        <w:rPr>
          <w:rFonts w:ascii="Arial" w:eastAsia="Times New Roman" w:hAnsi="Arial" w:cs="Arial"/>
          <w:sz w:val="18"/>
          <w:szCs w:val="18"/>
          <w:lang w:eastAsia="zh-CN"/>
        </w:rPr>
        <w:t>Le but de ce programme est de permettre aux chercheurs et aux doctorants des pays membres et observateurs de l’OI</w:t>
      </w:r>
      <w:r w:rsidR="00F53EFE">
        <w:rPr>
          <w:rFonts w:ascii="Arial" w:eastAsia="Times New Roman" w:hAnsi="Arial" w:cs="Arial"/>
          <w:sz w:val="18"/>
          <w:szCs w:val="18"/>
          <w:lang w:eastAsia="zh-CN"/>
        </w:rPr>
        <w:t>F</w:t>
      </w:r>
      <w:r w:rsidRPr="00621C8B">
        <w:rPr>
          <w:rFonts w:ascii="Arial" w:eastAsia="Times New Roman" w:hAnsi="Arial" w:cs="Arial"/>
          <w:sz w:val="18"/>
          <w:szCs w:val="18"/>
          <w:lang w:eastAsia="zh-CN"/>
        </w:rPr>
        <w:t xml:space="preserve"> et de l’Algérie, issus des établissements d’enseignement supérieur membres de l’AUF, de bénéficier d’une formation de minimum 3 mois dans les institutions d’enseignement supérieur roumaines, reconnues pour leur excellence dans des domaines d’enseignement et de recherche les plus divers.</w:t>
      </w:r>
    </w:p>
    <w:p w14:paraId="2BB7125B" w14:textId="77777777" w:rsidR="00621C8B" w:rsidRPr="00621C8B" w:rsidRDefault="00621C8B" w:rsidP="00621C8B">
      <w:pPr>
        <w:suppressAutoHyphens/>
        <w:spacing w:after="120" w:line="240" w:lineRule="auto"/>
        <w:jc w:val="both"/>
        <w:rPr>
          <w:rFonts w:ascii="Times New Roman" w:eastAsia="Times New Roman" w:hAnsi="Times New Roman" w:cs="Times New Roman"/>
          <w:sz w:val="24"/>
          <w:szCs w:val="24"/>
          <w:lang w:eastAsia="zh-CN"/>
        </w:rPr>
      </w:pPr>
      <w:r w:rsidRPr="00621C8B">
        <w:rPr>
          <w:rFonts w:ascii="Arial" w:eastAsia="Times New Roman" w:hAnsi="Arial" w:cs="Arial"/>
          <w:sz w:val="18"/>
          <w:szCs w:val="18"/>
          <w:lang w:eastAsia="zh-CN"/>
        </w:rPr>
        <w:t xml:space="preserve">La gestion effective de ces bourses est coordonnée par l’Agence universitaire de la Francophonie, dont l’expérience dans ce genre de programmes est internationalement reconnue. </w:t>
      </w:r>
    </w:p>
    <w:p w14:paraId="294805A0" w14:textId="4EFC5AF7" w:rsidR="00621C8B" w:rsidRDefault="00621C8B" w:rsidP="00621C8B">
      <w:pPr>
        <w:suppressAutoHyphens/>
        <w:spacing w:after="120" w:line="240" w:lineRule="auto"/>
        <w:jc w:val="both"/>
        <w:rPr>
          <w:rFonts w:ascii="Arial" w:eastAsia="Times New Roman" w:hAnsi="Arial" w:cs="Arial"/>
          <w:sz w:val="18"/>
          <w:szCs w:val="18"/>
          <w:lang w:eastAsia="zh-CN"/>
        </w:rPr>
      </w:pPr>
      <w:r w:rsidRPr="00621C8B">
        <w:rPr>
          <w:rFonts w:ascii="Arial" w:eastAsia="Times New Roman" w:hAnsi="Arial" w:cs="Arial"/>
          <w:sz w:val="18"/>
          <w:szCs w:val="18"/>
          <w:lang w:eastAsia="zh-CN"/>
        </w:rPr>
        <w:t xml:space="preserve">Les </w:t>
      </w:r>
      <w:r w:rsidRPr="00621C8B">
        <w:rPr>
          <w:rFonts w:ascii="Arial" w:eastAsia="Times New Roman" w:hAnsi="Arial" w:cs="Arial"/>
          <w:b/>
          <w:sz w:val="18"/>
          <w:szCs w:val="18"/>
          <w:lang w:eastAsia="zh-CN"/>
        </w:rPr>
        <w:t>1</w:t>
      </w:r>
      <w:r w:rsidR="009C1AA2">
        <w:rPr>
          <w:rFonts w:ascii="Arial" w:eastAsia="Times New Roman" w:hAnsi="Arial" w:cs="Arial"/>
          <w:b/>
          <w:sz w:val="18"/>
          <w:szCs w:val="18"/>
          <w:lang w:eastAsia="zh-CN"/>
        </w:rPr>
        <w:t>3</w:t>
      </w:r>
      <w:r w:rsidRPr="00621C8B">
        <w:rPr>
          <w:rFonts w:ascii="Arial" w:eastAsia="Times New Roman" w:hAnsi="Arial" w:cs="Arial"/>
          <w:b/>
          <w:sz w:val="18"/>
          <w:szCs w:val="18"/>
          <w:lang w:eastAsia="zh-CN"/>
        </w:rPr>
        <w:t xml:space="preserve"> promotions</w:t>
      </w:r>
      <w:r w:rsidRPr="00621C8B">
        <w:rPr>
          <w:rFonts w:ascii="Arial" w:eastAsia="Times New Roman" w:hAnsi="Arial" w:cs="Arial"/>
          <w:sz w:val="18"/>
          <w:szCs w:val="18"/>
          <w:lang w:eastAsia="zh-CN"/>
        </w:rPr>
        <w:t xml:space="preserve"> de boursiers « Eugen Ionescu » déjà sélectionnés comptent </w:t>
      </w:r>
      <w:r w:rsidR="00243829">
        <w:rPr>
          <w:rFonts w:ascii="Arial" w:eastAsia="Times New Roman" w:hAnsi="Arial" w:cs="Arial"/>
          <w:b/>
          <w:sz w:val="18"/>
          <w:szCs w:val="18"/>
          <w:lang w:eastAsia="zh-CN"/>
        </w:rPr>
        <w:t xml:space="preserve">904 </w:t>
      </w:r>
      <w:r w:rsidRPr="00621C8B">
        <w:rPr>
          <w:rFonts w:ascii="Arial" w:eastAsia="Times New Roman" w:hAnsi="Arial" w:cs="Arial"/>
          <w:b/>
          <w:sz w:val="18"/>
          <w:szCs w:val="18"/>
          <w:lang w:eastAsia="zh-CN"/>
        </w:rPr>
        <w:t>doctorants et chercheurs</w:t>
      </w:r>
      <w:r w:rsidRPr="00621C8B">
        <w:rPr>
          <w:rFonts w:ascii="Arial" w:eastAsia="Times New Roman" w:hAnsi="Arial" w:cs="Arial"/>
          <w:sz w:val="18"/>
          <w:szCs w:val="18"/>
          <w:lang w:eastAsia="zh-CN"/>
        </w:rPr>
        <w:t xml:space="preserve"> issus des </w:t>
      </w:r>
      <w:r w:rsidR="00E65C27">
        <w:rPr>
          <w:rFonts w:ascii="Arial" w:eastAsia="Times New Roman" w:hAnsi="Arial" w:cs="Arial"/>
          <w:b/>
          <w:sz w:val="18"/>
          <w:szCs w:val="18"/>
          <w:lang w:eastAsia="zh-CN"/>
        </w:rPr>
        <w:t>4</w:t>
      </w:r>
      <w:r w:rsidR="008D36F7">
        <w:rPr>
          <w:rFonts w:ascii="Arial" w:eastAsia="Times New Roman" w:hAnsi="Arial" w:cs="Arial"/>
          <w:b/>
          <w:sz w:val="18"/>
          <w:szCs w:val="18"/>
          <w:lang w:eastAsia="zh-CN"/>
        </w:rPr>
        <w:t>0</w:t>
      </w:r>
      <w:r w:rsidRPr="00621C8B">
        <w:rPr>
          <w:rFonts w:ascii="Arial" w:eastAsia="Times New Roman" w:hAnsi="Arial" w:cs="Arial"/>
          <w:b/>
          <w:sz w:val="18"/>
          <w:szCs w:val="18"/>
          <w:lang w:eastAsia="zh-CN"/>
        </w:rPr>
        <w:t xml:space="preserve"> pays</w:t>
      </w:r>
      <w:r w:rsidRPr="00621C8B">
        <w:rPr>
          <w:rFonts w:ascii="Arial" w:eastAsia="Times New Roman" w:hAnsi="Arial" w:cs="Arial"/>
          <w:sz w:val="18"/>
          <w:szCs w:val="18"/>
          <w:lang w:eastAsia="zh-CN"/>
        </w:rPr>
        <w:t xml:space="preserve">  : Albanie, Algérie, Arménie, </w:t>
      </w:r>
      <w:r w:rsidR="00A26325" w:rsidRPr="00621C8B">
        <w:rPr>
          <w:rFonts w:ascii="Arial" w:eastAsia="Times New Roman" w:hAnsi="Arial" w:cs="Arial"/>
          <w:sz w:val="18"/>
          <w:szCs w:val="18"/>
          <w:lang w:eastAsia="zh-CN"/>
        </w:rPr>
        <w:t>Belgique</w:t>
      </w:r>
      <w:r w:rsidRPr="00621C8B">
        <w:rPr>
          <w:rFonts w:ascii="Arial" w:eastAsia="Times New Roman" w:hAnsi="Arial" w:cs="Arial"/>
          <w:sz w:val="18"/>
          <w:szCs w:val="18"/>
          <w:lang w:eastAsia="zh-CN"/>
        </w:rPr>
        <w:t>, Bénin, Bulgarie, Burkina Faso, Cameroun, Canada, Côte d'Ivoire, République Centrafricaine, République démocratique du Congo,</w:t>
      </w:r>
      <w:r w:rsidR="00DA5A1B">
        <w:rPr>
          <w:rFonts w:ascii="Arial" w:eastAsia="Times New Roman" w:hAnsi="Arial" w:cs="Arial"/>
          <w:sz w:val="18"/>
          <w:szCs w:val="18"/>
          <w:lang w:eastAsia="zh-CN"/>
        </w:rPr>
        <w:t xml:space="preserve"> République du Congo,</w:t>
      </w:r>
      <w:r w:rsidRPr="00621C8B">
        <w:rPr>
          <w:rFonts w:ascii="Arial" w:eastAsia="Times New Roman" w:hAnsi="Arial" w:cs="Arial"/>
          <w:sz w:val="18"/>
          <w:szCs w:val="18"/>
          <w:lang w:eastAsia="zh-CN"/>
        </w:rPr>
        <w:t xml:space="preserve"> Égypte, France, Gabon, Géorgie, Grèce, Guinée, Hongrie, Lettonie, Liban, Macédoine, Madagascar, Mali, Maroc, Mauritanie, Moldova,</w:t>
      </w:r>
      <w:r w:rsidR="008D36F7">
        <w:rPr>
          <w:rFonts w:ascii="Arial" w:eastAsia="Times New Roman" w:hAnsi="Arial" w:cs="Arial"/>
          <w:sz w:val="18"/>
          <w:szCs w:val="18"/>
          <w:lang w:eastAsia="zh-CN"/>
        </w:rPr>
        <w:t xml:space="preserve"> Niger,</w:t>
      </w:r>
      <w:r w:rsidRPr="00621C8B">
        <w:rPr>
          <w:rFonts w:ascii="Arial" w:eastAsia="Times New Roman" w:hAnsi="Arial" w:cs="Arial"/>
          <w:sz w:val="18"/>
          <w:szCs w:val="18"/>
          <w:lang w:eastAsia="zh-CN"/>
        </w:rPr>
        <w:t xml:space="preserve"> Pologne, Rwanda, Sénégal, Serbie, Slovaquie, Suisse, Tchad, Togo, Tunisie, Ukraine, Viêt-Nam.</w:t>
      </w:r>
    </w:p>
    <w:p w14:paraId="4B0CA4ED" w14:textId="0E7C4EBD" w:rsidR="00621C8B" w:rsidRDefault="00621C8B" w:rsidP="00621C8B">
      <w:pPr>
        <w:suppressAutoHyphens/>
        <w:spacing w:after="120" w:line="240" w:lineRule="auto"/>
        <w:jc w:val="both"/>
        <w:rPr>
          <w:rFonts w:ascii="Arial" w:eastAsia="Times New Roman" w:hAnsi="Arial" w:cs="Arial"/>
          <w:sz w:val="18"/>
          <w:szCs w:val="18"/>
          <w:lang w:eastAsia="zh-CN"/>
        </w:rPr>
      </w:pPr>
      <w:r w:rsidRPr="00621C8B">
        <w:rPr>
          <w:rFonts w:ascii="Arial" w:eastAsia="Times New Roman" w:hAnsi="Arial" w:cs="Arial"/>
          <w:sz w:val="18"/>
          <w:szCs w:val="18"/>
          <w:lang w:eastAsia="zh-CN"/>
        </w:rPr>
        <w:t xml:space="preserve">Depuis 2007, </w:t>
      </w:r>
      <w:r w:rsidR="00E65C27">
        <w:rPr>
          <w:rFonts w:ascii="Arial" w:eastAsia="Times New Roman" w:hAnsi="Arial" w:cs="Arial"/>
          <w:b/>
          <w:sz w:val="18"/>
          <w:szCs w:val="18"/>
          <w:lang w:eastAsia="zh-CN"/>
        </w:rPr>
        <w:t>5</w:t>
      </w:r>
      <w:r w:rsidR="00243829">
        <w:rPr>
          <w:rFonts w:ascii="Arial" w:eastAsia="Times New Roman" w:hAnsi="Arial" w:cs="Arial"/>
          <w:b/>
          <w:sz w:val="18"/>
          <w:szCs w:val="18"/>
          <w:lang w:eastAsia="zh-CN"/>
        </w:rPr>
        <w:t>37</w:t>
      </w:r>
      <w:r w:rsidR="00E65C27" w:rsidRPr="00621C8B">
        <w:rPr>
          <w:rFonts w:ascii="Arial" w:eastAsia="Times New Roman" w:hAnsi="Arial" w:cs="Arial"/>
          <w:b/>
          <w:sz w:val="18"/>
          <w:szCs w:val="18"/>
          <w:lang w:eastAsia="zh-CN"/>
        </w:rPr>
        <w:t xml:space="preserve"> </w:t>
      </w:r>
      <w:r w:rsidRPr="00621C8B">
        <w:rPr>
          <w:rFonts w:ascii="Arial" w:eastAsia="Times New Roman" w:hAnsi="Arial" w:cs="Arial"/>
          <w:b/>
          <w:sz w:val="18"/>
          <w:szCs w:val="18"/>
          <w:lang w:eastAsia="zh-CN"/>
        </w:rPr>
        <w:t>doctorants</w:t>
      </w:r>
      <w:r w:rsidRPr="00621C8B">
        <w:rPr>
          <w:rFonts w:ascii="Arial" w:eastAsia="Times New Roman" w:hAnsi="Arial" w:cs="Arial"/>
          <w:sz w:val="18"/>
          <w:szCs w:val="18"/>
          <w:lang w:eastAsia="zh-CN"/>
        </w:rPr>
        <w:t xml:space="preserve"> et </w:t>
      </w:r>
      <w:r w:rsidR="00DC0BF1">
        <w:rPr>
          <w:rFonts w:ascii="Arial" w:eastAsia="Times New Roman" w:hAnsi="Arial" w:cs="Arial"/>
          <w:b/>
          <w:sz w:val="18"/>
          <w:szCs w:val="18"/>
          <w:lang w:eastAsia="zh-CN"/>
        </w:rPr>
        <w:t>3</w:t>
      </w:r>
      <w:r w:rsidR="00E65C27">
        <w:rPr>
          <w:rFonts w:ascii="Arial" w:eastAsia="Times New Roman" w:hAnsi="Arial" w:cs="Arial"/>
          <w:b/>
          <w:sz w:val="18"/>
          <w:szCs w:val="18"/>
          <w:lang w:eastAsia="zh-CN"/>
        </w:rPr>
        <w:t>67</w:t>
      </w:r>
      <w:r w:rsidRPr="00621C8B">
        <w:rPr>
          <w:rFonts w:ascii="Arial" w:eastAsia="Times New Roman" w:hAnsi="Arial" w:cs="Arial"/>
          <w:b/>
          <w:sz w:val="18"/>
          <w:szCs w:val="18"/>
          <w:lang w:eastAsia="zh-CN"/>
        </w:rPr>
        <w:t xml:space="preserve"> postdoctorants</w:t>
      </w:r>
      <w:r w:rsidRPr="00621C8B">
        <w:rPr>
          <w:rFonts w:ascii="Arial" w:eastAsia="Times New Roman" w:hAnsi="Arial" w:cs="Arial"/>
          <w:sz w:val="18"/>
          <w:szCs w:val="18"/>
          <w:lang w:eastAsia="zh-CN"/>
        </w:rPr>
        <w:t xml:space="preserve"> se sont vu attribuer une mobilité pour effectuer un séjour scientifique dans les universités roumaines qui participent au programme « Eugen Ionescu ». Ces mobilités leur ont permis d'effectuer des recherches en langues et humanités, sciences de la vie, sciences de la matière et sciences pour l'ingénieur. Les plateformes de travail et l'encadrement de haute qualité fournis par les universités roumaines ont donné lieu à des avancées importantes dans leurs travaux de recherche.</w:t>
      </w:r>
    </w:p>
    <w:p w14:paraId="3F1FF978" w14:textId="77777777" w:rsidR="008D339A" w:rsidRDefault="00621C8B" w:rsidP="00621C8B">
      <w:r w:rsidRPr="00621C8B">
        <w:rPr>
          <w:rFonts w:ascii="Arial" w:eastAsia="Times New Roman" w:hAnsi="Arial" w:cs="Arial"/>
          <w:sz w:val="18"/>
          <w:szCs w:val="18"/>
          <w:lang w:eastAsia="zh-CN"/>
        </w:rPr>
        <w:t>La Roumanie souhaite que ce programme puisse démontrer l’ampleur de son engagement en faveur de la Francophonie. Contribuer à la formation des formateurs, acteurs principaux du développement durable de tout pays, constitue la meilleure manière de mettre en pratique les valeurs communes de solidarité qui se trouvent au</w:t>
      </w:r>
      <w:r>
        <w:rPr>
          <w:rFonts w:ascii="Arial" w:eastAsia="Times New Roman" w:hAnsi="Arial" w:cs="Arial"/>
          <w:sz w:val="18"/>
          <w:szCs w:val="18"/>
          <w:lang w:eastAsia="zh-CN"/>
        </w:rPr>
        <w:t xml:space="preserve"> cœur de la Francophonie.</w:t>
      </w:r>
    </w:p>
    <w:sectPr w:rsidR="008D339A" w:rsidSect="00621C8B">
      <w:head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182E77" w14:textId="77777777" w:rsidR="00CD56F9" w:rsidRDefault="00CD56F9" w:rsidP="00621C8B">
      <w:pPr>
        <w:spacing w:after="0" w:line="240" w:lineRule="auto"/>
      </w:pPr>
      <w:r>
        <w:separator/>
      </w:r>
    </w:p>
  </w:endnote>
  <w:endnote w:type="continuationSeparator" w:id="0">
    <w:p w14:paraId="6FB01531" w14:textId="77777777" w:rsidR="00CD56F9" w:rsidRDefault="00CD56F9" w:rsidP="00621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EF4059" w14:textId="77777777" w:rsidR="00CD56F9" w:rsidRDefault="00CD56F9" w:rsidP="00621C8B">
      <w:pPr>
        <w:spacing w:after="0" w:line="240" w:lineRule="auto"/>
      </w:pPr>
      <w:r>
        <w:separator/>
      </w:r>
    </w:p>
  </w:footnote>
  <w:footnote w:type="continuationSeparator" w:id="0">
    <w:p w14:paraId="3209C295" w14:textId="77777777" w:rsidR="00CD56F9" w:rsidRDefault="00CD56F9" w:rsidP="00621C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9BD991" w14:textId="5749EA63" w:rsidR="00621C8B" w:rsidRDefault="00632FAA">
    <w:pPr>
      <w:pStyle w:val="En-tte"/>
    </w:pPr>
    <w:r>
      <w:rPr>
        <w:noProof/>
      </w:rPr>
      <w:drawing>
        <wp:inline distT="0" distB="0" distL="0" distR="0" wp14:anchorId="65472FF0" wp14:editId="12A93ED4">
          <wp:extent cx="1671725" cy="797992"/>
          <wp:effectExtent l="0" t="0" r="5080" b="254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MAE.jpg"/>
                  <pic:cNvPicPr/>
                </pic:nvPicPr>
                <pic:blipFill>
                  <a:blip r:embed="rId1">
                    <a:extLst>
                      <a:ext uri="{28A0092B-C50C-407E-A947-70E740481C1C}">
                        <a14:useLocalDpi xmlns:a14="http://schemas.microsoft.com/office/drawing/2010/main" val="0"/>
                      </a:ext>
                    </a:extLst>
                  </a:blip>
                  <a:stretch>
                    <a:fillRect/>
                  </a:stretch>
                </pic:blipFill>
                <pic:spPr>
                  <a:xfrm>
                    <a:off x="0" y="0"/>
                    <a:ext cx="1775815" cy="847679"/>
                  </a:xfrm>
                  <a:prstGeom prst="rect">
                    <a:avLst/>
                  </a:prstGeom>
                </pic:spPr>
              </pic:pic>
            </a:graphicData>
          </a:graphic>
        </wp:inline>
      </w:drawing>
    </w:r>
    <w:r w:rsidR="00621C8B">
      <w:t xml:space="preserve">                                                                                        </w:t>
    </w:r>
    <w:r w:rsidR="0051030C">
      <w:t xml:space="preserve">                    </w:t>
    </w:r>
    <w:r w:rsidR="00621C8B">
      <w:t xml:space="preserve">   </w:t>
    </w:r>
    <w:r w:rsidR="00621C8B">
      <w:rPr>
        <w:noProof/>
      </w:rPr>
      <w:drawing>
        <wp:inline distT="0" distB="0" distL="0" distR="0" wp14:anchorId="5ED9AD0A" wp14:editId="5FD04D25">
          <wp:extent cx="933811" cy="741680"/>
          <wp:effectExtent l="0" t="0" r="0" b="127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l="-49" t="-58" r="-49" b="-58"/>
                  <a:stretch>
                    <a:fillRect/>
                  </a:stretch>
                </pic:blipFill>
                <pic:spPr bwMode="auto">
                  <a:xfrm>
                    <a:off x="0" y="0"/>
                    <a:ext cx="978298" cy="777014"/>
                  </a:xfrm>
                  <a:prstGeom prst="rect">
                    <a:avLst/>
                  </a:prstGeom>
                  <a:solidFill>
                    <a:srgbClr val="FFFFFF"/>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C8B"/>
    <w:rsid w:val="00123BE4"/>
    <w:rsid w:val="001C7BF3"/>
    <w:rsid w:val="001F62A5"/>
    <w:rsid w:val="00243829"/>
    <w:rsid w:val="00256CCA"/>
    <w:rsid w:val="00262837"/>
    <w:rsid w:val="003357F2"/>
    <w:rsid w:val="003D3ADF"/>
    <w:rsid w:val="00403A04"/>
    <w:rsid w:val="00432968"/>
    <w:rsid w:val="00480EFB"/>
    <w:rsid w:val="0051030C"/>
    <w:rsid w:val="00621C8B"/>
    <w:rsid w:val="00632FAA"/>
    <w:rsid w:val="007E491B"/>
    <w:rsid w:val="008631B3"/>
    <w:rsid w:val="008A6CAB"/>
    <w:rsid w:val="008D339A"/>
    <w:rsid w:val="008D36F7"/>
    <w:rsid w:val="008E474D"/>
    <w:rsid w:val="0097346F"/>
    <w:rsid w:val="009C1AA2"/>
    <w:rsid w:val="009D730F"/>
    <w:rsid w:val="00A26325"/>
    <w:rsid w:val="00B52378"/>
    <w:rsid w:val="00BB551C"/>
    <w:rsid w:val="00BC1AE7"/>
    <w:rsid w:val="00C71E66"/>
    <w:rsid w:val="00CD56F9"/>
    <w:rsid w:val="00CF1CEE"/>
    <w:rsid w:val="00D3211C"/>
    <w:rsid w:val="00DA5A1B"/>
    <w:rsid w:val="00DC0BF1"/>
    <w:rsid w:val="00DE2C05"/>
    <w:rsid w:val="00E65C27"/>
    <w:rsid w:val="00EC16B4"/>
    <w:rsid w:val="00F53EFE"/>
    <w:rsid w:val="00F72C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C1C3F5"/>
  <w15:chartTrackingRefBased/>
  <w15:docId w15:val="{1932E956-619B-418C-A4E4-0A183CE6E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21C8B"/>
    <w:pPr>
      <w:tabs>
        <w:tab w:val="center" w:pos="4536"/>
        <w:tab w:val="right" w:pos="9072"/>
      </w:tabs>
      <w:spacing w:after="0" w:line="240" w:lineRule="auto"/>
    </w:pPr>
  </w:style>
  <w:style w:type="character" w:customStyle="1" w:styleId="En-tteCar">
    <w:name w:val="En-tête Car"/>
    <w:basedOn w:val="Policepardfaut"/>
    <w:link w:val="En-tte"/>
    <w:uiPriority w:val="99"/>
    <w:rsid w:val="00621C8B"/>
  </w:style>
  <w:style w:type="paragraph" w:styleId="Pieddepage">
    <w:name w:val="footer"/>
    <w:basedOn w:val="Normal"/>
    <w:link w:val="PieddepageCar"/>
    <w:uiPriority w:val="99"/>
    <w:unhideWhenUsed/>
    <w:rsid w:val="00621C8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21C8B"/>
  </w:style>
  <w:style w:type="paragraph" w:styleId="Textedebulles">
    <w:name w:val="Balloon Text"/>
    <w:basedOn w:val="Normal"/>
    <w:link w:val="TextedebullesCar"/>
    <w:uiPriority w:val="99"/>
    <w:semiHidden/>
    <w:unhideWhenUsed/>
    <w:rsid w:val="00480EF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80E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41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nvitatiieveniment xmlns="120ad4de-c9cd-41aa-ae8c-db9652134cde" xsi:nil="true"/>
    <oe7cd652c0954ae3a7b394cc5411d21d xmlns="e3c94543-904b-4cfb-a34f-6f8386c685b3">
      <Terms xmlns="http://schemas.microsoft.com/office/infopath/2007/PartnerControls"/>
    </oe7cd652c0954ae3a7b394cc5411d21d>
    <_ip_UnifiedCompliancePolicyProperties xmlns="http://schemas.microsoft.com/sharepoint/v3" xsi:nil="true"/>
    <TaxCatchAll xmlns="a72e391e-6a7e-4a78-9109-da3d1b8b6fd9"/>
    <TaxKeywordTaxHTField xmlns="a72e391e-6a7e-4a78-9109-da3d1b8b6fd9">
      <Terms xmlns="http://schemas.microsoft.com/office/infopath/2007/PartnerControls"/>
    </TaxKeywordTaxHTFiel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B6839E81F02D488EA5EE7BFAF72E03" ma:contentTypeVersion="20" ma:contentTypeDescription="Crée un document." ma:contentTypeScope="" ma:versionID="c0036b049312c1307779094485382b1b">
  <xsd:schema xmlns:xsd="http://www.w3.org/2001/XMLSchema" xmlns:xs="http://www.w3.org/2001/XMLSchema" xmlns:p="http://schemas.microsoft.com/office/2006/metadata/properties" xmlns:ns1="http://schemas.microsoft.com/sharepoint/v3" xmlns:ns2="e3c94543-904b-4cfb-a34f-6f8386c685b3" xmlns:ns3="a72e391e-6a7e-4a78-9109-da3d1b8b6fd9" xmlns:ns4="2e80bc64-7750-45f3-8f47-a5673ba8b009" xmlns:ns5="120ad4de-c9cd-41aa-ae8c-db9652134cde" targetNamespace="http://schemas.microsoft.com/office/2006/metadata/properties" ma:root="true" ma:fieldsID="dbf91a50f6d95139c0884f52a451a07b" ns1:_="" ns2:_="" ns3:_="" ns4:_="" ns5:_="">
    <xsd:import namespace="http://schemas.microsoft.com/sharepoint/v3"/>
    <xsd:import namespace="e3c94543-904b-4cfb-a34f-6f8386c685b3"/>
    <xsd:import namespace="a72e391e-6a7e-4a78-9109-da3d1b8b6fd9"/>
    <xsd:import namespace="2e80bc64-7750-45f3-8f47-a5673ba8b009"/>
    <xsd:import namespace="120ad4de-c9cd-41aa-ae8c-db9652134cde"/>
    <xsd:element name="properties">
      <xsd:complexType>
        <xsd:sequence>
          <xsd:element name="documentManagement">
            <xsd:complexType>
              <xsd:all>
                <xsd:element ref="ns3:TaxKeywordTaxHTField" minOccurs="0"/>
                <xsd:element ref="ns3:TaxCatchAll" minOccurs="0"/>
                <xsd:element ref="ns4:MediaServiceMetadata" minOccurs="0"/>
                <xsd:element ref="ns4:MediaServiceFastMetadata" minOccurs="0"/>
                <xsd:element ref="ns4:MediaServiceDateTaken" minOccurs="0"/>
                <xsd:element ref="ns4:MediaServiceAutoTags" minOccurs="0"/>
                <xsd:element ref="ns4:MediaServiceOCR" minOccurs="0"/>
                <xsd:element ref="ns2:oe7cd652c0954ae3a7b394cc5411d21d" minOccurs="0"/>
                <xsd:element ref="ns5:MediaServiceLocation" minOccurs="0"/>
                <xsd:element ref="ns5:MediaServiceGenerationTime" minOccurs="0"/>
                <xsd:element ref="ns5:MediaServiceEventHashCode" minOccurs="0"/>
                <xsd:element ref="ns1:_ip_UnifiedCompliancePolicyProperties" minOccurs="0"/>
                <xsd:element ref="ns1:_ip_UnifiedCompliancePolicyUIAction" minOccurs="0"/>
                <xsd:element ref="ns3:SharedWithUsers" minOccurs="0"/>
                <xsd:element ref="ns3:SharedWithDetails" minOccurs="0"/>
                <xsd:element ref="ns5:Invitatiieveniment"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Propriétés de la stratégie de conformité unifiée" ma:hidden="true" ma:internalName="_ip_UnifiedCompliancePolicyProperties">
      <xsd:simpleType>
        <xsd:restriction base="dms:Note"/>
      </xsd:simpleType>
    </xsd:element>
    <xsd:element name="_ip_UnifiedCompliancePolicyUIAction" ma:index="22"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c94543-904b-4cfb-a34f-6f8386c685b3" elementFormDefault="qualified">
    <xsd:import namespace="http://schemas.microsoft.com/office/2006/documentManagement/types"/>
    <xsd:import namespace="http://schemas.microsoft.com/office/infopath/2007/PartnerControls"/>
    <xsd:element name="oe7cd652c0954ae3a7b394cc5411d21d" ma:index="13" nillable="true" ma:taxonomy="true" ma:internalName="oe7cd652c0954ae3a7b394cc5411d21d" ma:taxonomyFieldName="AUF_Classification" ma:displayName="Classification" ma:default="" ma:fieldId="{8e7cd652-c095-4ae3-a7b3-94cc5411d21d}" ma:sspId="29a13ef7-c7d7-4002-a890-fdda62768386" ma:termSetId="87a67df7-09a1-4d7a-991e-3fb14d5195d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2e391e-6a7e-4a78-9109-da3d1b8b6fd9" elementFormDefault="qualified">
    <xsd:import namespace="http://schemas.microsoft.com/office/2006/documentManagement/types"/>
    <xsd:import namespace="http://schemas.microsoft.com/office/infopath/2007/PartnerControls"/>
    <xsd:element name="TaxKeywordTaxHTField" ma:index="6" nillable="true" ma:taxonomy="true" ma:internalName="TaxKeywordTaxHTField" ma:taxonomyFieldName="TaxKeyword" ma:displayName="Mots clés d’entreprise" ma:fieldId="{23f27201-bee3-471e-b2e7-b64fd8b7ca38}" ma:taxonomyMulti="true" ma:sspId="29a13ef7-c7d7-4002-a890-fdda62768386" ma:termSetId="00000000-0000-0000-0000-000000000000" ma:anchorId="00000000-0000-0000-0000-000000000000" ma:open="true" ma:isKeyword="true">
      <xsd:complexType>
        <xsd:sequence>
          <xsd:element ref="pc:Terms" minOccurs="0" maxOccurs="1"/>
        </xsd:sequence>
      </xsd:complexType>
    </xsd:element>
    <xsd:element name="TaxCatchAll" ma:index="7" nillable="true" ma:displayName="Taxonomy Catch All Column" ma:hidden="true" ma:list="{d7833887-83a9-47e2-b8e4-acdfece23690}" ma:internalName="TaxCatchAll" ma:showField="CatchAllData" ma:web="a72e391e-6a7e-4a78-9109-da3d1b8b6fd9">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80bc64-7750-45f3-8f47-a5673ba8b0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0ad4de-c9cd-41aa-ae8c-db9652134cde" elementFormDefault="qualified">
    <xsd:import namespace="http://schemas.microsoft.com/office/2006/documentManagement/types"/>
    <xsd:import namespace="http://schemas.microsoft.com/office/infopath/2007/PartnerControls"/>
    <xsd:element name="MediaServiceLocation" ma:index="18"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Invitatiieveniment" ma:index="25" nillable="true" ma:displayName="Invitatii eveniment" ma:format="Dropdown" ma:internalName="Invitatiieveniment">
      <xsd:simpleType>
        <xsd:restriction base="dms:Text">
          <xsd:maxLength value="255"/>
        </xsd:restriction>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Type de contenu"/>
        <xsd:element ref="dc:title" minOccurs="0" maxOccurs="1" ma:index="1" ma:displayName="Description"/>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2FEEE3-A9BD-4A69-89C8-E6860B9BC3C1}">
  <ds:schemaRefs>
    <ds:schemaRef ds:uri="http://schemas.microsoft.com/sharepoint/v3/contenttype/forms"/>
  </ds:schemaRefs>
</ds:datastoreItem>
</file>

<file path=customXml/itemProps2.xml><?xml version="1.0" encoding="utf-8"?>
<ds:datastoreItem xmlns:ds="http://schemas.openxmlformats.org/officeDocument/2006/customXml" ds:itemID="{B5E6C34C-F260-4375-8DA0-567F29A76736}">
  <ds:schemaRefs>
    <ds:schemaRef ds:uri="http://schemas.microsoft.com/office/2006/metadata/properties"/>
    <ds:schemaRef ds:uri="http://schemas.microsoft.com/office/infopath/2007/PartnerControls"/>
    <ds:schemaRef ds:uri="http://schemas.microsoft.com/sharepoint/v3"/>
    <ds:schemaRef ds:uri="120ad4de-c9cd-41aa-ae8c-db9652134cde"/>
    <ds:schemaRef ds:uri="e3c94543-904b-4cfb-a34f-6f8386c685b3"/>
    <ds:schemaRef ds:uri="a72e391e-6a7e-4a78-9109-da3d1b8b6fd9"/>
  </ds:schemaRefs>
</ds:datastoreItem>
</file>

<file path=customXml/itemProps3.xml><?xml version="1.0" encoding="utf-8"?>
<ds:datastoreItem xmlns:ds="http://schemas.openxmlformats.org/officeDocument/2006/customXml" ds:itemID="{6F219EB3-EDFC-4962-966F-6959ED945C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c94543-904b-4cfb-a34f-6f8386c685b3"/>
    <ds:schemaRef ds:uri="a72e391e-6a7e-4a78-9109-da3d1b8b6fd9"/>
    <ds:schemaRef ds:uri="2e80bc64-7750-45f3-8f47-a5673ba8b009"/>
    <ds:schemaRef ds:uri="120ad4de-c9cd-41aa-ae8c-db9652134c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660</Words>
  <Characters>3830</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FLOROIU</dc:creator>
  <cp:keywords/>
  <dc:description/>
  <cp:lastModifiedBy>Cornelia Robu</cp:lastModifiedBy>
  <cp:revision>6</cp:revision>
  <cp:lastPrinted>2018-08-29T11:55:00Z</cp:lastPrinted>
  <dcterms:created xsi:type="dcterms:W3CDTF">2020-10-05T11:13:00Z</dcterms:created>
  <dcterms:modified xsi:type="dcterms:W3CDTF">2020-10-28T07:30:00Z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0x010100AAB6839E81F02D488EA5EE7BFAF72E03</vt:lpwstr>
  </property>
  <property fmtid="{D5CDD505-2E9C-101B-9397-08002B2CF9AE}" pid="3" name="TaxKeyword">
    <vt:lpwstr/>
  </property>
  <property fmtid="{D5CDD505-2E9C-101B-9397-08002B2CF9AE}" pid="4" name="AUF_Classification">
    <vt:lpwstr/>
  </property>
</Properties>
</file>