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6A7A" w14:textId="77777777" w:rsidR="00216687" w:rsidRDefault="00216687" w:rsidP="00DA2932">
      <w:pPr>
        <w:pStyle w:val="paragraph"/>
        <w:textAlignment w:val="baseline"/>
        <w:rPr>
          <w:rStyle w:val="normaltextrun"/>
          <w:b/>
          <w:bCs/>
          <w:sz w:val="28"/>
          <w:szCs w:val="28"/>
          <w:rtl/>
          <w:lang w:bidi="ar-LB"/>
        </w:rPr>
      </w:pPr>
    </w:p>
    <w:p w14:paraId="0099A56A" w14:textId="679D4225" w:rsidR="00216687" w:rsidRDefault="00216687" w:rsidP="004633E5">
      <w:pPr>
        <w:pStyle w:val="paragraph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66C2F86" wp14:editId="6AE008D2">
            <wp:extent cx="1343025" cy="567055"/>
            <wp:effectExtent l="0" t="0" r="9525" b="4445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842" cy="56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2CC04" w14:textId="77777777" w:rsidR="00216687" w:rsidRDefault="00216687" w:rsidP="00216687">
      <w:pPr>
        <w:pStyle w:val="paragraph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14:paraId="76065394" w14:textId="15D1BFB9" w:rsidR="00216687" w:rsidRDefault="00FD1B51" w:rsidP="00A809EE">
      <w:pPr>
        <w:pStyle w:val="paragraph"/>
        <w:bidi/>
        <w:jc w:val="center"/>
        <w:textAlignment w:val="baseline"/>
      </w:pPr>
      <w:r>
        <w:rPr>
          <w:rStyle w:val="normaltextrun"/>
          <w:rFonts w:hint="cs"/>
          <w:b/>
          <w:bCs/>
          <w:sz w:val="28"/>
          <w:szCs w:val="28"/>
          <w:rtl/>
          <w:lang w:bidi="ar-LB"/>
        </w:rPr>
        <w:t>خبر</w:t>
      </w:r>
      <w:r w:rsidR="00333636">
        <w:rPr>
          <w:rStyle w:val="normaltextrun"/>
          <w:rFonts w:hint="cs"/>
          <w:b/>
          <w:bCs/>
          <w:sz w:val="28"/>
          <w:szCs w:val="28"/>
          <w:rtl/>
          <w:lang w:bidi="ar-LB"/>
        </w:rPr>
        <w:t xml:space="preserve"> </w:t>
      </w:r>
      <w:r>
        <w:rPr>
          <w:rStyle w:val="normaltextrun"/>
          <w:rFonts w:hint="cs"/>
          <w:b/>
          <w:bCs/>
          <w:sz w:val="28"/>
          <w:szCs w:val="28"/>
          <w:rtl/>
          <w:lang w:bidi="ar-LB"/>
        </w:rPr>
        <w:t>صح</w:t>
      </w:r>
      <w:r w:rsidR="00A809EE">
        <w:rPr>
          <w:rStyle w:val="normaltextrun"/>
          <w:rFonts w:hint="cs"/>
          <w:b/>
          <w:bCs/>
          <w:sz w:val="28"/>
          <w:szCs w:val="28"/>
          <w:rtl/>
          <w:lang w:bidi="ar-LB"/>
        </w:rPr>
        <w:t>ا</w:t>
      </w:r>
      <w:r>
        <w:rPr>
          <w:rStyle w:val="normaltextrun"/>
          <w:rFonts w:hint="cs"/>
          <w:b/>
          <w:bCs/>
          <w:sz w:val="28"/>
          <w:szCs w:val="28"/>
          <w:rtl/>
          <w:lang w:bidi="ar-LB"/>
        </w:rPr>
        <w:t>في</w:t>
      </w:r>
      <w:r w:rsidR="00216687">
        <w:rPr>
          <w:rStyle w:val="normaltextrun"/>
          <w:b/>
          <w:bCs/>
          <w:sz w:val="28"/>
          <w:szCs w:val="28"/>
        </w:rPr>
        <w:t> </w:t>
      </w:r>
      <w:r w:rsidR="00216687">
        <w:rPr>
          <w:rStyle w:val="eop"/>
          <w:sz w:val="28"/>
          <w:szCs w:val="28"/>
        </w:rPr>
        <w:t> </w:t>
      </w:r>
      <w:r w:rsidR="00216687">
        <w:rPr>
          <w:rStyle w:val="eop"/>
          <w:rFonts w:ascii="Calibri Light" w:hAnsi="Calibri Light" w:cs="Calibri Light"/>
        </w:rPr>
        <w:t> </w:t>
      </w:r>
    </w:p>
    <w:p w14:paraId="6BC1483A" w14:textId="651C55A1" w:rsidR="00216687" w:rsidRDefault="005F6247" w:rsidP="00333636">
      <w:pPr>
        <w:pStyle w:val="paragraph"/>
        <w:jc w:val="center"/>
        <w:textAlignment w:val="baseline"/>
      </w:pPr>
      <w:r>
        <w:rPr>
          <w:rStyle w:val="normaltextrun"/>
          <w:rFonts w:ascii="Calibri Light" w:hAnsi="Calibri Light" w:cs="Calibri Light" w:hint="cs"/>
          <w:b/>
          <w:bCs/>
          <w:color w:val="0070C0"/>
          <w:sz w:val="28"/>
          <w:szCs w:val="28"/>
          <w:rtl/>
          <w:lang w:bidi="ar-LB"/>
        </w:rPr>
        <w:t xml:space="preserve">برامج وأنشطة الوكالة الجامعية للفرنكوفونية </w:t>
      </w:r>
      <w:r w:rsidR="008A1AF5">
        <w:rPr>
          <w:rStyle w:val="normaltextrun"/>
          <w:rFonts w:ascii="Calibri Light" w:hAnsi="Calibri Light" w:cs="Calibri Light" w:hint="cs"/>
          <w:b/>
          <w:bCs/>
          <w:color w:val="0070C0"/>
          <w:sz w:val="28"/>
          <w:szCs w:val="28"/>
          <w:rtl/>
          <w:lang w:bidi="ar-LB"/>
        </w:rPr>
        <w:t xml:space="preserve">محور لقاء </w:t>
      </w:r>
      <w:r w:rsidR="00333636">
        <w:rPr>
          <w:rStyle w:val="normaltextrun"/>
          <w:rFonts w:ascii="Calibri Light" w:hAnsi="Calibri Light" w:cs="Calibri Light" w:hint="cs"/>
          <w:b/>
          <w:bCs/>
          <w:color w:val="0070C0"/>
          <w:sz w:val="28"/>
          <w:szCs w:val="28"/>
          <w:rtl/>
          <w:lang w:bidi="ar-LB"/>
        </w:rPr>
        <w:t>إعلامي</w:t>
      </w:r>
    </w:p>
    <w:p w14:paraId="6159ABCF" w14:textId="4648123D" w:rsidR="00216687" w:rsidRDefault="00216687" w:rsidP="007D54B6">
      <w:pPr>
        <w:pStyle w:val="paragraph"/>
        <w:jc w:val="center"/>
        <w:textAlignment w:val="baseline"/>
      </w:pPr>
      <w:r>
        <w:rPr>
          <w:rStyle w:val="normaltextrun"/>
          <w:b/>
          <w:bCs/>
          <w:sz w:val="28"/>
          <w:szCs w:val="28"/>
        </w:rPr>
        <w:t>  </w:t>
      </w:r>
      <w:r>
        <w:rPr>
          <w:rStyle w:val="eop"/>
          <w:sz w:val="28"/>
          <w:szCs w:val="28"/>
        </w:rPr>
        <w:t> </w:t>
      </w:r>
    </w:p>
    <w:p w14:paraId="401D0899" w14:textId="77777777" w:rsidR="00A809EE" w:rsidRDefault="00A1552E" w:rsidP="00460DB7">
      <w:pPr>
        <w:pStyle w:val="Standard"/>
        <w:bidi/>
        <w:jc w:val="both"/>
        <w:rPr>
          <w:rFonts w:asciiTheme="minorHAnsi" w:hAnsiTheme="minorHAnsi" w:cstheme="minorHAnsi"/>
          <w:sz w:val="26"/>
          <w:szCs w:val="26"/>
          <w:rtl/>
          <w:lang w:bidi="ar-LB"/>
        </w:rPr>
      </w:pPr>
      <w:r w:rsidRPr="00D9346C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نظّمت الإدارة الإقليمية للوكالة الجامعية للفرنكوفونية في الشرق الأوسط </w:t>
      </w:r>
      <w:r w:rsidR="00E914E6" w:rsidRPr="00D9346C">
        <w:rPr>
          <w:rFonts w:asciiTheme="minorHAnsi" w:hAnsiTheme="minorHAnsi" w:cstheme="minorHAnsi"/>
          <w:sz w:val="26"/>
          <w:szCs w:val="26"/>
          <w:rtl/>
          <w:lang w:bidi="ar-LB"/>
        </w:rPr>
        <w:t>لقاءً</w:t>
      </w:r>
      <w:r w:rsidRPr="00D9346C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 إعلامياً للتعريف</w:t>
      </w:r>
      <w:r w:rsidR="00AA279C" w:rsidRPr="00D9346C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 بالآليات التي تعتمدها من أجل دعم حركية الطلاب والأساتذة والبحث والتدريب والحوكمة والتكنولوجيا الرقمية وتوظيف المتخرّجين الجدد</w:t>
      </w:r>
      <w:r w:rsidR="00A809EE">
        <w:rPr>
          <w:rFonts w:asciiTheme="minorHAnsi" w:hAnsiTheme="minorHAnsi" w:cstheme="minorHAnsi" w:hint="cs"/>
          <w:sz w:val="26"/>
          <w:szCs w:val="26"/>
          <w:rtl/>
          <w:lang w:bidi="ar-LB"/>
        </w:rPr>
        <w:t>،</w:t>
      </w:r>
      <w:r w:rsidR="00563443">
        <w:rPr>
          <w:rFonts w:asciiTheme="minorHAnsi" w:hAnsiTheme="minorHAnsi" w:cstheme="minorHAnsi" w:hint="cs"/>
          <w:sz w:val="26"/>
          <w:szCs w:val="26"/>
          <w:rtl/>
          <w:lang w:bidi="ar-LB"/>
        </w:rPr>
        <w:t xml:space="preserve"> وذلك </w:t>
      </w:r>
      <w:r w:rsidR="00563443" w:rsidRPr="00D9346C">
        <w:rPr>
          <w:rFonts w:asciiTheme="minorHAnsi" w:hAnsiTheme="minorHAnsi" w:cstheme="minorHAnsi"/>
          <w:sz w:val="26"/>
          <w:szCs w:val="26"/>
          <w:rtl/>
          <w:lang w:bidi="ar-LB"/>
        </w:rPr>
        <w:t>في 8 شباط 2022 في مركزية قابلية التوظيف</w:t>
      </w:r>
      <w:r w:rsidR="00A809EE" w:rsidRPr="00A809EE">
        <w:rPr>
          <w:rFonts w:asciiTheme="minorHAnsi" w:hAnsiTheme="minorHAnsi" w:cstheme="minorHAnsi"/>
          <w:sz w:val="26"/>
          <w:szCs w:val="26"/>
          <w:lang w:bidi="ar-LB"/>
        </w:rPr>
        <w:t xml:space="preserve"> </w:t>
      </w:r>
      <w:r w:rsidR="00A809EE" w:rsidRPr="00D9346C">
        <w:rPr>
          <w:rFonts w:asciiTheme="minorHAnsi" w:hAnsiTheme="minorHAnsi" w:cstheme="minorHAnsi"/>
          <w:sz w:val="26"/>
          <w:szCs w:val="26"/>
          <w:lang w:bidi="ar-LB"/>
        </w:rPr>
        <w:t>CEF</w:t>
      </w:r>
      <w:r w:rsidR="00563443" w:rsidRPr="00D9346C">
        <w:rPr>
          <w:rFonts w:asciiTheme="minorHAnsi" w:hAnsiTheme="minorHAnsi" w:cstheme="minorHAnsi"/>
          <w:sz w:val="26"/>
          <w:szCs w:val="26"/>
          <w:rtl/>
          <w:lang w:bidi="ar-LB"/>
        </w:rPr>
        <w:t>التابع للوكالة في بيروت</w:t>
      </w:r>
      <w:r w:rsidR="00AA279C" w:rsidRPr="00D9346C">
        <w:rPr>
          <w:rFonts w:asciiTheme="minorHAnsi" w:hAnsiTheme="minorHAnsi" w:cstheme="minorHAnsi"/>
          <w:sz w:val="26"/>
          <w:szCs w:val="26"/>
          <w:rtl/>
          <w:lang w:bidi="ar-LB"/>
        </w:rPr>
        <w:t>.</w:t>
      </w:r>
      <w:r w:rsidRPr="00D9346C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 </w:t>
      </w:r>
    </w:p>
    <w:p w14:paraId="64605923" w14:textId="2F781098" w:rsidR="00242995" w:rsidRPr="00D9346C" w:rsidRDefault="00A809EE" w:rsidP="00A809EE">
      <w:pPr>
        <w:pStyle w:val="Standard"/>
        <w:bidi/>
        <w:jc w:val="both"/>
        <w:rPr>
          <w:rFonts w:asciiTheme="minorHAnsi" w:hAnsiTheme="minorHAnsi" w:cstheme="minorHAnsi"/>
          <w:sz w:val="26"/>
          <w:szCs w:val="26"/>
          <w:lang w:bidi="ar-LB"/>
        </w:rPr>
      </w:pPr>
      <w:r>
        <w:rPr>
          <w:rFonts w:asciiTheme="minorHAnsi" w:hAnsiTheme="minorHAnsi" w:cstheme="minorHAnsi" w:hint="cs"/>
          <w:sz w:val="26"/>
          <w:szCs w:val="26"/>
          <w:rtl/>
          <w:lang w:bidi="ar-LB"/>
        </w:rPr>
        <w:t>و</w:t>
      </w:r>
      <w:r w:rsidR="00A1552E" w:rsidRPr="00D9346C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شارك في هذا </w:t>
      </w:r>
      <w:r w:rsidR="00D16D83">
        <w:rPr>
          <w:rFonts w:asciiTheme="minorHAnsi" w:hAnsiTheme="minorHAnsi" w:cstheme="minorHAnsi" w:hint="cs"/>
          <w:sz w:val="26"/>
          <w:szCs w:val="26"/>
          <w:rtl/>
          <w:lang w:bidi="ar-LB"/>
        </w:rPr>
        <w:t>اللقاء</w:t>
      </w:r>
      <w:r w:rsidR="00A1552E" w:rsidRPr="00D9346C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 عدد كبير من الشركاء</w:t>
      </w:r>
      <w:r w:rsidR="00FF2C48" w:rsidRPr="00D9346C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 اللبنانيين</w:t>
      </w:r>
      <w:r w:rsidR="00A1552E" w:rsidRPr="00D9346C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 والمسؤولين الجامعيين </w:t>
      </w:r>
      <w:r w:rsidR="00D16D83">
        <w:rPr>
          <w:rFonts w:asciiTheme="minorHAnsi" w:hAnsiTheme="minorHAnsi" w:cstheme="minorHAnsi" w:hint="cs"/>
          <w:sz w:val="26"/>
          <w:szCs w:val="26"/>
          <w:rtl/>
          <w:lang w:bidi="ar-LB"/>
        </w:rPr>
        <w:t>والاساتذة</w:t>
      </w:r>
      <w:r w:rsidR="00A1552E" w:rsidRPr="00D9346C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 والباحثين والمهنيين بهدف التعرّف عن كثب على الأنشطة والخدمات</w:t>
      </w:r>
      <w:r w:rsidR="005C5478">
        <w:rPr>
          <w:rFonts w:asciiTheme="minorHAnsi" w:hAnsiTheme="minorHAnsi" w:cstheme="minorHAnsi" w:hint="cs"/>
          <w:sz w:val="26"/>
          <w:szCs w:val="26"/>
          <w:rtl/>
          <w:lang w:bidi="ar-LB"/>
        </w:rPr>
        <w:t xml:space="preserve"> الجديدة</w:t>
      </w:r>
      <w:r w:rsidR="00A1552E" w:rsidRPr="00D9346C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 التي تقدّمها الوكالة </w:t>
      </w:r>
      <w:r w:rsidR="005C5478">
        <w:rPr>
          <w:rFonts w:asciiTheme="minorHAnsi" w:hAnsiTheme="minorHAnsi" w:cstheme="minorHAnsi" w:hint="cs"/>
          <w:sz w:val="26"/>
          <w:szCs w:val="26"/>
          <w:rtl/>
          <w:lang w:bidi="ar-LB"/>
        </w:rPr>
        <w:t>في الشرق الأوسط</w:t>
      </w:r>
      <w:r w:rsidR="0022761C" w:rsidRPr="00D9346C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، وتمكن الأعضاء الإقليميين خارج لبنان </w:t>
      </w:r>
      <w:r w:rsidR="008F776F" w:rsidRPr="00D9346C">
        <w:rPr>
          <w:rFonts w:asciiTheme="minorHAnsi" w:hAnsiTheme="minorHAnsi" w:cstheme="minorHAnsi"/>
          <w:sz w:val="26"/>
          <w:szCs w:val="26"/>
          <w:rtl/>
          <w:lang w:bidi="ar-LB"/>
        </w:rPr>
        <w:t>من مت</w:t>
      </w:r>
      <w:r w:rsidR="005C5478">
        <w:rPr>
          <w:rFonts w:asciiTheme="minorHAnsi" w:hAnsiTheme="minorHAnsi" w:cstheme="minorHAnsi" w:hint="cs"/>
          <w:sz w:val="26"/>
          <w:szCs w:val="26"/>
          <w:rtl/>
          <w:lang w:bidi="ar-LB"/>
        </w:rPr>
        <w:t>ا</w:t>
      </w:r>
      <w:r w:rsidR="008F776F" w:rsidRPr="00D9346C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بعة هذا اللقاء </w:t>
      </w:r>
      <w:r w:rsidR="00B01F0F">
        <w:rPr>
          <w:rFonts w:asciiTheme="minorHAnsi" w:hAnsiTheme="minorHAnsi" w:cstheme="minorHAnsi" w:hint="cs"/>
          <w:sz w:val="26"/>
          <w:szCs w:val="26"/>
          <w:rtl/>
          <w:lang w:bidi="ar-LB"/>
        </w:rPr>
        <w:t>من خلال</w:t>
      </w:r>
      <w:r w:rsidR="008F776F" w:rsidRPr="00D9346C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 البثّ المباشر على فايسبوك. </w:t>
      </w:r>
    </w:p>
    <w:p w14:paraId="1DA0FEE1" w14:textId="77777777" w:rsidR="00052EB4" w:rsidRDefault="00052EB4" w:rsidP="00F90152">
      <w:pPr>
        <w:pStyle w:val="Standard"/>
        <w:bidi/>
        <w:jc w:val="both"/>
        <w:rPr>
          <w:rFonts w:asciiTheme="minorHAnsi" w:hAnsiTheme="minorHAnsi" w:cstheme="minorHAnsi"/>
          <w:sz w:val="26"/>
          <w:szCs w:val="26"/>
          <w:rtl/>
          <w:lang w:bidi="ar-LB"/>
        </w:rPr>
      </w:pPr>
    </w:p>
    <w:p w14:paraId="7306D018" w14:textId="52C1E934" w:rsidR="00460DB7" w:rsidRPr="00AF44AE" w:rsidRDefault="00F00AB4" w:rsidP="00052EB4">
      <w:pPr>
        <w:pStyle w:val="Standard"/>
        <w:bidi/>
        <w:jc w:val="both"/>
        <w:rPr>
          <w:rStyle w:val="normaltextrun"/>
          <w:rFonts w:asciiTheme="minorHAnsi" w:hAnsiTheme="minorHAnsi" w:cstheme="minorHAnsi"/>
          <w:sz w:val="26"/>
          <w:szCs w:val="26"/>
          <w:lang w:bidi="ar-LB"/>
        </w:rPr>
      </w:pPr>
      <w:r w:rsidRPr="00AF44AE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بعد عرض </w:t>
      </w:r>
      <w:r w:rsidR="00033CA4" w:rsidRPr="00AF44AE">
        <w:rPr>
          <w:rFonts w:asciiTheme="minorHAnsi" w:hAnsiTheme="minorHAnsi" w:cstheme="minorHAnsi"/>
          <w:sz w:val="26"/>
          <w:szCs w:val="26"/>
          <w:rtl/>
          <w:lang w:bidi="ar-LB"/>
        </w:rPr>
        <w:t>الاستراتيجية الجديدة</w:t>
      </w:r>
      <w:r w:rsidRPr="00AF44AE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 </w:t>
      </w:r>
      <w:r w:rsidR="00A809EE">
        <w:rPr>
          <w:rFonts w:asciiTheme="minorHAnsi" w:hAnsiTheme="minorHAnsi" w:cstheme="minorHAnsi" w:hint="cs"/>
          <w:sz w:val="26"/>
          <w:szCs w:val="26"/>
          <w:rtl/>
          <w:lang w:bidi="ar-LB"/>
        </w:rPr>
        <w:t>لل</w:t>
      </w:r>
      <w:r w:rsidRPr="00AF44AE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وكالة </w:t>
      </w:r>
      <w:r w:rsidR="00394B2E" w:rsidRPr="00AF44AE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من قبل المدير الإقليمي </w:t>
      </w:r>
      <w:r w:rsidR="000F336D" w:rsidRPr="00AF44AE">
        <w:rPr>
          <w:rFonts w:asciiTheme="minorHAnsi" w:hAnsiTheme="minorHAnsi" w:cstheme="minorHAnsi"/>
          <w:sz w:val="26"/>
          <w:szCs w:val="26"/>
          <w:rtl/>
          <w:lang w:bidi="ar-LB"/>
        </w:rPr>
        <w:t>جان نو</w:t>
      </w:r>
      <w:r w:rsidR="00AF44AE">
        <w:rPr>
          <w:rFonts w:asciiTheme="minorHAnsi" w:hAnsiTheme="minorHAnsi" w:cstheme="minorHAnsi" w:hint="cs"/>
          <w:sz w:val="26"/>
          <w:szCs w:val="26"/>
          <w:rtl/>
          <w:lang w:bidi="ar-LB"/>
        </w:rPr>
        <w:t>يل</w:t>
      </w:r>
      <w:r w:rsidR="000F336D" w:rsidRPr="00AF44AE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 باليو، </w:t>
      </w:r>
      <w:r w:rsidR="00052EB4">
        <w:rPr>
          <w:rFonts w:asciiTheme="minorHAnsi" w:hAnsiTheme="minorHAnsi" w:cstheme="minorHAnsi" w:hint="cs"/>
          <w:sz w:val="26"/>
          <w:szCs w:val="26"/>
          <w:rtl/>
          <w:lang w:bidi="ar-LB"/>
        </w:rPr>
        <w:t>والتعريف ب</w:t>
      </w:r>
      <w:r w:rsidR="000F336D" w:rsidRPr="00AF44AE">
        <w:rPr>
          <w:rFonts w:asciiTheme="minorHAnsi" w:hAnsiTheme="minorHAnsi" w:cstheme="minorHAnsi"/>
          <w:sz w:val="26"/>
          <w:szCs w:val="26"/>
          <w:rtl/>
          <w:lang w:bidi="ar-LB"/>
        </w:rPr>
        <w:t>فر</w:t>
      </w:r>
      <w:r w:rsidR="00CC216B" w:rsidRPr="00AF44AE">
        <w:rPr>
          <w:rFonts w:asciiTheme="minorHAnsi" w:hAnsiTheme="minorHAnsi" w:cstheme="minorHAnsi"/>
          <w:sz w:val="26"/>
          <w:szCs w:val="26"/>
          <w:rtl/>
          <w:lang w:bidi="ar-LB"/>
        </w:rPr>
        <w:t>ي</w:t>
      </w:r>
      <w:r w:rsidR="000F336D" w:rsidRPr="00AF44AE">
        <w:rPr>
          <w:rFonts w:asciiTheme="minorHAnsi" w:hAnsiTheme="minorHAnsi" w:cstheme="minorHAnsi"/>
          <w:sz w:val="26"/>
          <w:szCs w:val="26"/>
          <w:rtl/>
          <w:lang w:bidi="ar-LB"/>
        </w:rPr>
        <w:t>ق العمل</w:t>
      </w:r>
      <w:r w:rsidR="00CC216B" w:rsidRPr="00AF44AE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 المتمركز في بيروت من قبل</w:t>
      </w:r>
      <w:r w:rsidR="00E440DF" w:rsidRPr="00AF44AE">
        <w:rPr>
          <w:rFonts w:asciiTheme="minorHAnsi" w:hAnsiTheme="minorHAnsi" w:cstheme="minorHAnsi"/>
          <w:sz w:val="26"/>
          <w:szCs w:val="26"/>
          <w:lang w:bidi="ar-LB"/>
        </w:rPr>
        <w:t xml:space="preserve"> </w:t>
      </w:r>
      <w:r w:rsidR="0093598B" w:rsidRPr="00AF44AE">
        <w:rPr>
          <w:rFonts w:asciiTheme="minorHAnsi" w:hAnsiTheme="minorHAnsi" w:cstheme="minorHAnsi"/>
          <w:sz w:val="26"/>
          <w:szCs w:val="26"/>
          <w:rtl/>
          <w:lang w:bidi="ar-LB"/>
        </w:rPr>
        <w:t>نائب</w:t>
      </w:r>
      <w:r w:rsidR="00052EB4">
        <w:rPr>
          <w:rFonts w:asciiTheme="minorHAnsi" w:hAnsiTheme="minorHAnsi" w:cstheme="minorHAnsi" w:hint="cs"/>
          <w:sz w:val="26"/>
          <w:szCs w:val="26"/>
          <w:rtl/>
          <w:lang w:bidi="ar-LB"/>
        </w:rPr>
        <w:t>ة</w:t>
      </w:r>
      <w:r w:rsidR="0093598B" w:rsidRPr="00AF44AE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 </w:t>
      </w:r>
      <w:r w:rsidR="00B3247D" w:rsidRPr="00AF44AE">
        <w:rPr>
          <w:rFonts w:asciiTheme="minorHAnsi" w:hAnsiTheme="minorHAnsi" w:cstheme="minorHAnsi" w:hint="cs"/>
          <w:sz w:val="26"/>
          <w:szCs w:val="26"/>
          <w:rtl/>
          <w:lang w:bidi="ar-LB"/>
        </w:rPr>
        <w:t xml:space="preserve">المدير </w:t>
      </w:r>
      <w:proofErr w:type="spellStart"/>
      <w:r w:rsidR="00B3247D" w:rsidRPr="00AF44AE">
        <w:rPr>
          <w:rFonts w:asciiTheme="minorHAnsi" w:hAnsiTheme="minorHAnsi" w:cstheme="minorHAnsi" w:hint="cs"/>
          <w:sz w:val="26"/>
          <w:szCs w:val="26"/>
          <w:rtl/>
          <w:lang w:bidi="ar-LB"/>
        </w:rPr>
        <w:t>سينتيا</w:t>
      </w:r>
      <w:proofErr w:type="spellEnd"/>
      <w:r w:rsidR="007F106C" w:rsidRPr="00AF44AE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 رعد</w:t>
      </w:r>
      <w:r w:rsidRPr="00AF44AE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، تعاقب المسؤولون عن الأقطاب المتعدّدة التي ترعى نشاط الوكالة في الشرق الأوسط </w:t>
      </w:r>
      <w:r w:rsidR="00A809EE">
        <w:rPr>
          <w:rFonts w:asciiTheme="minorHAnsi" w:hAnsiTheme="minorHAnsi" w:cstheme="minorHAnsi" w:hint="cs"/>
          <w:sz w:val="26"/>
          <w:szCs w:val="26"/>
          <w:rtl/>
          <w:lang w:bidi="ar-LB"/>
        </w:rPr>
        <w:t xml:space="preserve">على </w:t>
      </w:r>
      <w:r w:rsidRPr="00AF44AE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عرض </w:t>
      </w:r>
      <w:r w:rsidR="006D44A9" w:rsidRPr="00AF44AE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مختلف الآليات التي تعتمدها الوكالة لدعم أعضائها </w:t>
      </w:r>
      <w:r w:rsidR="00391E14" w:rsidRPr="00AF44AE">
        <w:rPr>
          <w:rFonts w:asciiTheme="minorHAnsi" w:hAnsiTheme="minorHAnsi" w:cstheme="minorHAnsi"/>
          <w:sz w:val="26"/>
          <w:szCs w:val="26"/>
          <w:rtl/>
          <w:lang w:bidi="ar-LB"/>
        </w:rPr>
        <w:t>والتي تلبي الأو</w:t>
      </w:r>
      <w:r w:rsidR="0037335F" w:rsidRPr="00AF44AE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لويات </w:t>
      </w:r>
      <w:r w:rsidR="00391E14" w:rsidRPr="00AF44AE">
        <w:rPr>
          <w:rFonts w:asciiTheme="minorHAnsi" w:hAnsiTheme="minorHAnsi" w:cstheme="minorHAnsi"/>
          <w:sz w:val="26"/>
          <w:szCs w:val="26"/>
          <w:rtl/>
          <w:lang w:bidi="ar-LB"/>
        </w:rPr>
        <w:t>الاستراتيجي</w:t>
      </w:r>
      <w:r w:rsidR="00773EAF" w:rsidRPr="00AF44AE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ة </w:t>
      </w:r>
      <w:r w:rsidR="007838F3" w:rsidRPr="00AF44AE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للفرنكوفونية العلمية: التحوّل الرقمي </w:t>
      </w:r>
      <w:r w:rsidR="001949F9" w:rsidRPr="00AF44AE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والحوكمة الجامعية؛ قابلية التوظيف وريادة الأعمال؛ </w:t>
      </w:r>
      <w:r w:rsidR="006B3B4C" w:rsidRPr="00AF44AE">
        <w:rPr>
          <w:rFonts w:asciiTheme="minorHAnsi" w:hAnsiTheme="minorHAnsi" w:cstheme="minorHAnsi"/>
          <w:sz w:val="26"/>
          <w:szCs w:val="26"/>
          <w:rtl/>
          <w:lang w:bidi="ar-LB"/>
        </w:rPr>
        <w:t>إقامة الشبكات والتعاون الدولي</w:t>
      </w:r>
      <w:r w:rsidR="00CE25D9" w:rsidRPr="00AF44AE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؛ </w:t>
      </w:r>
      <w:r w:rsidR="001B7D6F" w:rsidRPr="00AF44AE">
        <w:rPr>
          <w:rFonts w:asciiTheme="minorHAnsi" w:hAnsiTheme="minorHAnsi" w:cstheme="minorHAnsi"/>
          <w:sz w:val="26"/>
          <w:szCs w:val="26"/>
          <w:rtl/>
          <w:lang w:bidi="ar-LB"/>
        </w:rPr>
        <w:t>تدريب المدربين والابتكار التربوي؛ البحث والتقييم</w:t>
      </w:r>
      <w:r w:rsidRPr="00AF44AE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.  </w:t>
      </w:r>
    </w:p>
    <w:p w14:paraId="2E12D136" w14:textId="77777777" w:rsidR="00B56B33" w:rsidRDefault="00B56B33" w:rsidP="00D126DB">
      <w:pPr>
        <w:pStyle w:val="Standard"/>
        <w:bidi/>
        <w:jc w:val="both"/>
        <w:rPr>
          <w:rFonts w:asciiTheme="minorHAnsi" w:hAnsiTheme="minorHAnsi" w:cstheme="minorHAnsi"/>
          <w:sz w:val="26"/>
          <w:szCs w:val="26"/>
          <w:rtl/>
          <w:lang w:bidi="ar-SA"/>
        </w:rPr>
      </w:pPr>
    </w:p>
    <w:p w14:paraId="37DCF305" w14:textId="18D617CA" w:rsidR="00F90152" w:rsidRPr="00052EB4" w:rsidRDefault="00960238" w:rsidP="00B56B33">
      <w:pPr>
        <w:pStyle w:val="Standard"/>
        <w:bidi/>
        <w:jc w:val="both"/>
        <w:rPr>
          <w:rFonts w:asciiTheme="minorHAnsi" w:hAnsiTheme="minorHAnsi" w:cstheme="minorHAnsi"/>
          <w:sz w:val="26"/>
          <w:szCs w:val="26"/>
          <w:lang w:bidi="ar-LB"/>
        </w:rPr>
      </w:pPr>
      <w:r w:rsidRPr="00052EB4">
        <w:rPr>
          <w:rFonts w:asciiTheme="minorHAnsi" w:hAnsiTheme="minorHAnsi" w:cstheme="minorHAnsi"/>
          <w:sz w:val="26"/>
          <w:szCs w:val="26"/>
          <w:rtl/>
          <w:lang w:bidi="ar-SA"/>
        </w:rPr>
        <w:t xml:space="preserve">بالإضافة إلى ذلك، </w:t>
      </w:r>
      <w:r w:rsidRPr="00052EB4">
        <w:rPr>
          <w:rFonts w:asciiTheme="minorHAnsi" w:hAnsiTheme="minorHAnsi" w:cstheme="minorHAnsi"/>
          <w:sz w:val="26"/>
          <w:szCs w:val="26"/>
          <w:rtl/>
          <w:lang w:bidi="ar-LB"/>
        </w:rPr>
        <w:t>تم</w:t>
      </w:r>
      <w:r w:rsidR="00052EB4">
        <w:rPr>
          <w:rFonts w:asciiTheme="minorHAnsi" w:hAnsiTheme="minorHAnsi" w:cstheme="minorHAnsi" w:hint="cs"/>
          <w:sz w:val="26"/>
          <w:szCs w:val="26"/>
          <w:rtl/>
          <w:lang w:bidi="ar-LB"/>
        </w:rPr>
        <w:t>ّ</w:t>
      </w:r>
      <w:r w:rsidRPr="00052EB4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 التطرّق ب</w:t>
      </w:r>
      <w:r w:rsidR="00D4285F">
        <w:rPr>
          <w:rFonts w:asciiTheme="minorHAnsi" w:hAnsiTheme="minorHAnsi" w:cstheme="minorHAnsi" w:hint="cs"/>
          <w:sz w:val="26"/>
          <w:szCs w:val="26"/>
          <w:rtl/>
          <w:lang w:bidi="ar-LB"/>
        </w:rPr>
        <w:t>ال</w:t>
      </w:r>
      <w:r w:rsidRPr="00052EB4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تفصيل </w:t>
      </w:r>
      <w:r w:rsidR="00014408" w:rsidRPr="00052EB4">
        <w:rPr>
          <w:rFonts w:asciiTheme="minorHAnsi" w:hAnsiTheme="minorHAnsi" w:cstheme="minorHAnsi"/>
          <w:sz w:val="26"/>
          <w:szCs w:val="26"/>
          <w:rtl/>
          <w:lang w:bidi="ar-LB"/>
        </w:rPr>
        <w:t>إلى</w:t>
      </w:r>
      <w:r w:rsidRPr="00052EB4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 الآليا</w:t>
      </w:r>
      <w:r w:rsidR="004D6855" w:rsidRPr="00052EB4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ت ودعوات </w:t>
      </w:r>
      <w:r w:rsidR="00014408" w:rsidRPr="00052EB4">
        <w:rPr>
          <w:rFonts w:asciiTheme="minorHAnsi" w:hAnsiTheme="minorHAnsi" w:cstheme="minorHAnsi"/>
          <w:sz w:val="26"/>
          <w:szCs w:val="26"/>
          <w:rtl/>
          <w:lang w:bidi="ar-LB"/>
        </w:rPr>
        <w:t>الترشيح</w:t>
      </w:r>
      <w:r w:rsidRPr="00052EB4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 التي </w:t>
      </w:r>
      <w:r w:rsidR="004D6855" w:rsidRPr="00052EB4">
        <w:rPr>
          <w:rFonts w:asciiTheme="minorHAnsi" w:hAnsiTheme="minorHAnsi" w:cstheme="minorHAnsi"/>
          <w:sz w:val="26"/>
          <w:szCs w:val="26"/>
          <w:rtl/>
          <w:lang w:bidi="ar-LB"/>
        </w:rPr>
        <w:t>توف</w:t>
      </w:r>
      <w:r w:rsidR="00D4285F">
        <w:rPr>
          <w:rFonts w:asciiTheme="minorHAnsi" w:hAnsiTheme="minorHAnsi" w:cstheme="minorHAnsi" w:hint="cs"/>
          <w:sz w:val="26"/>
          <w:szCs w:val="26"/>
          <w:rtl/>
          <w:lang w:bidi="ar-LB"/>
        </w:rPr>
        <w:t>ّ</w:t>
      </w:r>
      <w:r w:rsidR="004D6855" w:rsidRPr="00052EB4">
        <w:rPr>
          <w:rFonts w:asciiTheme="minorHAnsi" w:hAnsiTheme="minorHAnsi" w:cstheme="minorHAnsi"/>
          <w:sz w:val="26"/>
          <w:szCs w:val="26"/>
          <w:rtl/>
          <w:lang w:bidi="ar-LB"/>
        </w:rPr>
        <w:t>رها</w:t>
      </w:r>
      <w:r w:rsidRPr="00052EB4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 الوكالة الجامعية للفرنكوفونية في الشرق الأوسط </w:t>
      </w:r>
      <w:r w:rsidR="004D6855" w:rsidRPr="00052EB4">
        <w:rPr>
          <w:rFonts w:asciiTheme="minorHAnsi" w:hAnsiTheme="minorHAnsi" w:cstheme="minorHAnsi"/>
          <w:sz w:val="26"/>
          <w:szCs w:val="26"/>
          <w:rtl/>
          <w:lang w:bidi="ar-LB"/>
        </w:rPr>
        <w:t>ل</w:t>
      </w:r>
      <w:r w:rsidR="00A809EE">
        <w:rPr>
          <w:rFonts w:asciiTheme="minorHAnsi" w:hAnsiTheme="minorHAnsi" w:cstheme="minorHAnsi" w:hint="cs"/>
          <w:sz w:val="26"/>
          <w:szCs w:val="26"/>
          <w:rtl/>
          <w:lang w:bidi="ar-LB"/>
        </w:rPr>
        <w:t>سنة</w:t>
      </w:r>
      <w:r w:rsidR="004D6855" w:rsidRPr="00052EB4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 2022 </w:t>
      </w:r>
      <w:r w:rsidRPr="00052EB4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في مجال </w:t>
      </w:r>
      <w:r w:rsidR="00666DA1" w:rsidRPr="00052EB4">
        <w:rPr>
          <w:rFonts w:asciiTheme="minorHAnsi" w:hAnsiTheme="minorHAnsi" w:cstheme="minorHAnsi"/>
          <w:sz w:val="26"/>
          <w:szCs w:val="26"/>
          <w:rtl/>
          <w:lang w:bidi="ar-LB"/>
        </w:rPr>
        <w:t>تعزيز</w:t>
      </w:r>
      <w:r w:rsidR="00982160" w:rsidRPr="00052EB4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 </w:t>
      </w:r>
      <w:r w:rsidR="00E0381C" w:rsidRPr="00052EB4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البرامج الأكاديمية (دعم </w:t>
      </w:r>
      <w:r w:rsidR="00666DA1" w:rsidRPr="00052EB4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البرامج المبتكرة </w:t>
      </w:r>
      <w:r w:rsidRPr="00052EB4">
        <w:rPr>
          <w:rFonts w:asciiTheme="minorHAnsi" w:hAnsiTheme="minorHAnsi" w:cstheme="minorHAnsi"/>
          <w:sz w:val="26"/>
          <w:szCs w:val="26"/>
          <w:rtl/>
          <w:lang w:bidi="ar-LB"/>
        </w:rPr>
        <w:t>وحركية أساتذة المنطقة</w:t>
      </w:r>
      <w:r w:rsidR="00513E7B" w:rsidRPr="00052EB4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 وتعزيز المهارات في الأقسام الفرنكوفونية</w:t>
      </w:r>
      <w:r w:rsidRPr="00052EB4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 </w:t>
      </w:r>
      <w:r w:rsidR="001F47FF" w:rsidRPr="00052EB4">
        <w:rPr>
          <w:rFonts w:asciiTheme="minorHAnsi" w:hAnsiTheme="minorHAnsi" w:cstheme="minorHAnsi"/>
          <w:sz w:val="26"/>
          <w:szCs w:val="26"/>
          <w:rtl/>
          <w:lang w:bidi="ar-LB"/>
        </w:rPr>
        <w:t>وتعزيز الوساطة</w:t>
      </w:r>
      <w:r w:rsidR="006315B6" w:rsidRPr="00052EB4">
        <w:rPr>
          <w:rFonts w:asciiTheme="minorHAnsi" w:hAnsiTheme="minorHAnsi" w:cstheme="minorHAnsi"/>
          <w:sz w:val="26"/>
          <w:szCs w:val="26"/>
          <w:rtl/>
          <w:lang w:bidi="ar-LB"/>
        </w:rPr>
        <w:t>...)</w:t>
      </w:r>
      <w:r w:rsidR="00900952" w:rsidRPr="00052EB4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 وتمّ استعراض </w:t>
      </w:r>
      <w:r w:rsidR="00F16988" w:rsidRPr="00052EB4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آليات </w:t>
      </w:r>
      <w:r w:rsidR="00A5370C" w:rsidRPr="00052EB4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دعم </w:t>
      </w:r>
      <w:r w:rsidR="00121EDC" w:rsidRPr="00052EB4">
        <w:rPr>
          <w:rFonts w:asciiTheme="minorHAnsi" w:hAnsiTheme="minorHAnsi" w:cstheme="minorHAnsi"/>
          <w:sz w:val="26"/>
          <w:szCs w:val="26"/>
          <w:rtl/>
          <w:lang w:bidi="ar-LB"/>
        </w:rPr>
        <w:t>الحوكمة الجامعية وضمان الجودة</w:t>
      </w:r>
      <w:r w:rsidR="00900952" w:rsidRPr="00052EB4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. </w:t>
      </w:r>
      <w:r w:rsidR="00F16698" w:rsidRPr="00052EB4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كما عُرضت استراتيجية الوكالة لدعم </w:t>
      </w:r>
      <w:r w:rsidR="00D126DB" w:rsidRPr="00052EB4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المشاريع البحثية والتدريب على البحث وتثمين الفرنكوفونية العلمية في الشرق الأوسط. </w:t>
      </w:r>
    </w:p>
    <w:p w14:paraId="0DF0A15E" w14:textId="28E5E011" w:rsidR="000A0C23" w:rsidRPr="000B2449" w:rsidRDefault="000A0C23" w:rsidP="000A0C23">
      <w:pPr>
        <w:pStyle w:val="paragraph"/>
        <w:bidi/>
        <w:jc w:val="both"/>
        <w:textAlignment w:val="baseline"/>
        <w:rPr>
          <w:rStyle w:val="normaltextrun"/>
          <w:rFonts w:ascii="Calibri" w:hAnsi="Calibri" w:cs="Calibri"/>
          <w:sz w:val="26"/>
          <w:szCs w:val="26"/>
          <w:rtl/>
          <w:lang w:bidi="ar-LB"/>
        </w:rPr>
      </w:pPr>
      <w:r w:rsidRPr="000B2449">
        <w:rPr>
          <w:rStyle w:val="normaltextrun"/>
          <w:rFonts w:ascii="Calibri" w:hAnsi="Calibri" w:cs="Calibri"/>
          <w:sz w:val="26"/>
          <w:szCs w:val="26"/>
          <w:rtl/>
        </w:rPr>
        <w:t xml:space="preserve">فضلاً عن ذلك، قدّم الفريق </w:t>
      </w:r>
      <w:r w:rsidR="00A809EE">
        <w:rPr>
          <w:rStyle w:val="normaltextrun"/>
          <w:rFonts w:ascii="Calibri" w:hAnsi="Calibri" w:cs="Calibri" w:hint="cs"/>
          <w:sz w:val="26"/>
          <w:szCs w:val="26"/>
          <w:rtl/>
        </w:rPr>
        <w:t>ال</w:t>
      </w:r>
      <w:r w:rsidRPr="000B2449">
        <w:rPr>
          <w:rStyle w:val="normaltextrun"/>
          <w:rFonts w:ascii="Calibri" w:hAnsi="Calibri" w:cs="Calibri"/>
          <w:sz w:val="26"/>
          <w:szCs w:val="26"/>
          <w:rtl/>
        </w:rPr>
        <w:t>مشاريع الآيلة إلى توطيد العلاقة بين الجامعات والشركات وتناول بشكل خاصّ مشاريع التوعية على</w:t>
      </w:r>
      <w:r w:rsidR="005C7FB8" w:rsidRPr="000B2449">
        <w:rPr>
          <w:rStyle w:val="normaltextrun"/>
          <w:rFonts w:ascii="Calibri" w:hAnsi="Calibri" w:cs="Calibri"/>
          <w:sz w:val="26"/>
          <w:szCs w:val="26"/>
          <w:rtl/>
        </w:rPr>
        <w:t xml:space="preserve"> قابلية التوظيف و</w:t>
      </w:r>
      <w:r w:rsidRPr="000B2449">
        <w:rPr>
          <w:rStyle w:val="normaltextrun"/>
          <w:rFonts w:ascii="Calibri" w:hAnsi="Calibri" w:cs="Calibri"/>
          <w:sz w:val="26"/>
          <w:szCs w:val="26"/>
          <w:rtl/>
        </w:rPr>
        <w:t>ريادة الأعمال</w:t>
      </w:r>
      <w:r w:rsidRPr="000B2449">
        <w:rPr>
          <w:rStyle w:val="normaltextrun"/>
          <w:rFonts w:ascii="Calibri" w:hAnsi="Calibri" w:cs="Calibri"/>
          <w:sz w:val="26"/>
          <w:szCs w:val="26"/>
        </w:rPr>
        <w:t xml:space="preserve"> </w:t>
      </w:r>
      <w:r w:rsidR="005C7FB8" w:rsidRPr="000B2449">
        <w:rPr>
          <w:rStyle w:val="normaltextrun"/>
          <w:rFonts w:ascii="Calibri" w:hAnsi="Calibri" w:cs="Calibri"/>
          <w:sz w:val="26"/>
          <w:szCs w:val="26"/>
          <w:rtl/>
        </w:rPr>
        <w:t xml:space="preserve">التي تعتمد بشكل كبير </w:t>
      </w:r>
      <w:r w:rsidR="00733663" w:rsidRPr="000B2449">
        <w:rPr>
          <w:rStyle w:val="normaltextrun"/>
          <w:rFonts w:ascii="Calibri" w:hAnsi="Calibri" w:cs="Calibri"/>
          <w:sz w:val="26"/>
          <w:szCs w:val="26"/>
          <w:rtl/>
        </w:rPr>
        <w:t>على إنشاء مراكز قابلية التوظيف (</w:t>
      </w:r>
      <w:r w:rsidR="00733663" w:rsidRPr="000B2449">
        <w:rPr>
          <w:rStyle w:val="normaltextrun"/>
          <w:rFonts w:ascii="Calibri" w:hAnsi="Calibri" w:cs="Calibri"/>
          <w:sz w:val="26"/>
          <w:szCs w:val="26"/>
        </w:rPr>
        <w:t>CEF</w:t>
      </w:r>
      <w:r w:rsidR="00733663" w:rsidRPr="000B2449">
        <w:rPr>
          <w:rStyle w:val="normaltextrun"/>
          <w:rFonts w:ascii="Calibri" w:hAnsi="Calibri" w:cs="Calibri"/>
          <w:sz w:val="26"/>
          <w:szCs w:val="26"/>
          <w:rtl/>
          <w:lang w:bidi="ar-LB"/>
        </w:rPr>
        <w:t>).</w:t>
      </w:r>
      <w:r w:rsidR="00EE3F99" w:rsidRPr="000B2449">
        <w:rPr>
          <w:rStyle w:val="normaltextrun"/>
          <w:rFonts w:ascii="Calibri" w:hAnsi="Calibri" w:cs="Calibri"/>
          <w:sz w:val="26"/>
          <w:szCs w:val="26"/>
          <w:rtl/>
          <w:lang w:bidi="ar-LB"/>
        </w:rPr>
        <w:t xml:space="preserve"> </w:t>
      </w:r>
      <w:r w:rsidR="007F32BC" w:rsidRPr="000B2449">
        <w:rPr>
          <w:rStyle w:val="normaltextrun"/>
          <w:rFonts w:ascii="Calibri" w:hAnsi="Calibri" w:cs="Calibri"/>
          <w:sz w:val="26"/>
          <w:szCs w:val="26"/>
          <w:rtl/>
          <w:lang w:bidi="ar-LB"/>
        </w:rPr>
        <w:t>وي</w:t>
      </w:r>
      <w:r w:rsidR="004C72C2">
        <w:rPr>
          <w:rStyle w:val="normaltextrun"/>
          <w:rFonts w:ascii="Calibri" w:hAnsi="Calibri" w:cs="Calibri" w:hint="cs"/>
          <w:sz w:val="26"/>
          <w:szCs w:val="26"/>
          <w:rtl/>
          <w:lang w:bidi="ar-LB"/>
        </w:rPr>
        <w:t>ُ</w:t>
      </w:r>
      <w:r w:rsidR="007F32BC" w:rsidRPr="000B2449">
        <w:rPr>
          <w:rStyle w:val="normaltextrun"/>
          <w:rFonts w:ascii="Calibri" w:hAnsi="Calibri" w:cs="Calibri"/>
          <w:sz w:val="26"/>
          <w:szCs w:val="26"/>
          <w:rtl/>
          <w:lang w:bidi="ar-LB"/>
        </w:rPr>
        <w:t xml:space="preserve">عتبر مركز قابلية التوظيف الذي تمّ إطلاقه </w:t>
      </w:r>
      <w:r w:rsidR="004E32FE" w:rsidRPr="000B2449">
        <w:rPr>
          <w:rStyle w:val="normaltextrun"/>
          <w:rFonts w:ascii="Calibri" w:hAnsi="Calibri" w:cs="Calibri"/>
          <w:sz w:val="26"/>
          <w:szCs w:val="26"/>
          <w:rtl/>
          <w:lang w:bidi="ar-LB"/>
        </w:rPr>
        <w:t>في بيروت في أيلول ال</w:t>
      </w:r>
      <w:r w:rsidR="00A809EE">
        <w:rPr>
          <w:rStyle w:val="normaltextrun"/>
          <w:rFonts w:ascii="Calibri" w:hAnsi="Calibri" w:cs="Calibri" w:hint="cs"/>
          <w:sz w:val="26"/>
          <w:szCs w:val="26"/>
          <w:rtl/>
          <w:lang w:bidi="ar-LB"/>
        </w:rPr>
        <w:t>فائت</w:t>
      </w:r>
      <w:r w:rsidR="004E32FE" w:rsidRPr="000B2449">
        <w:rPr>
          <w:rStyle w:val="normaltextrun"/>
          <w:rFonts w:ascii="Calibri" w:hAnsi="Calibri" w:cs="Calibri"/>
          <w:sz w:val="26"/>
          <w:szCs w:val="26"/>
          <w:rtl/>
          <w:lang w:bidi="ar-LB"/>
        </w:rPr>
        <w:t xml:space="preserve"> هو الأول من نوعه في المنطقة</w:t>
      </w:r>
      <w:r w:rsidR="004C72C2">
        <w:rPr>
          <w:rStyle w:val="normaltextrun"/>
          <w:rFonts w:ascii="Calibri" w:hAnsi="Calibri" w:cs="Calibri" w:hint="cs"/>
          <w:sz w:val="26"/>
          <w:szCs w:val="26"/>
          <w:rtl/>
          <w:lang w:bidi="ar-LB"/>
        </w:rPr>
        <w:t>،</w:t>
      </w:r>
      <w:r w:rsidR="004E32FE" w:rsidRPr="000B2449">
        <w:rPr>
          <w:rStyle w:val="normaltextrun"/>
          <w:rFonts w:ascii="Calibri" w:hAnsi="Calibri" w:cs="Calibri"/>
          <w:sz w:val="26"/>
          <w:szCs w:val="26"/>
          <w:rtl/>
        </w:rPr>
        <w:t xml:space="preserve"> </w:t>
      </w:r>
      <w:r w:rsidR="00C84B08" w:rsidRPr="000B2449">
        <w:rPr>
          <w:rStyle w:val="normaltextrun"/>
          <w:rFonts w:ascii="Calibri" w:hAnsi="Calibri" w:cs="Calibri"/>
          <w:sz w:val="26"/>
          <w:szCs w:val="26"/>
          <w:rtl/>
        </w:rPr>
        <w:t>وتقضي مهم</w:t>
      </w:r>
      <w:r w:rsidR="004C72C2">
        <w:rPr>
          <w:rStyle w:val="normaltextrun"/>
          <w:rFonts w:ascii="Calibri" w:hAnsi="Calibri" w:cs="Calibri" w:hint="cs"/>
          <w:sz w:val="26"/>
          <w:szCs w:val="26"/>
          <w:rtl/>
        </w:rPr>
        <w:t xml:space="preserve">ته </w:t>
      </w:r>
      <w:r w:rsidR="00C84B08" w:rsidRPr="000B2449">
        <w:rPr>
          <w:rStyle w:val="normaltextrun"/>
          <w:rFonts w:ascii="Calibri" w:hAnsi="Calibri" w:cs="Calibri"/>
          <w:sz w:val="26"/>
          <w:szCs w:val="26"/>
          <w:rtl/>
        </w:rPr>
        <w:t>في تسهيل الاندماج المهني للطلاب اللبنانيين ودعم خطواتهم الأولى على طريق ريادة الأعمال</w:t>
      </w:r>
      <w:r w:rsidR="00C84B08" w:rsidRPr="000B2449">
        <w:rPr>
          <w:rStyle w:val="normaltextrun"/>
          <w:rFonts w:ascii="Calibri" w:hAnsi="Calibri" w:cs="Calibri"/>
          <w:sz w:val="26"/>
          <w:szCs w:val="26"/>
        </w:rPr>
        <w:t>.</w:t>
      </w:r>
      <w:r w:rsidR="005F015A" w:rsidRPr="000B2449">
        <w:rPr>
          <w:rStyle w:val="normaltextrun"/>
          <w:rFonts w:ascii="Calibri" w:hAnsi="Calibri" w:cs="Calibri"/>
          <w:sz w:val="26"/>
          <w:szCs w:val="26"/>
          <w:rtl/>
        </w:rPr>
        <w:t xml:space="preserve"> وينظم المركز </w:t>
      </w:r>
      <w:r w:rsidR="00A809EE">
        <w:rPr>
          <w:rStyle w:val="normaltextrun"/>
          <w:rFonts w:ascii="Calibri" w:hAnsi="Calibri" w:cs="Calibri" w:hint="cs"/>
          <w:sz w:val="26"/>
          <w:szCs w:val="26"/>
          <w:rtl/>
        </w:rPr>
        <w:t>نشاطات</w:t>
      </w:r>
      <w:r w:rsidR="000D66BB" w:rsidRPr="000B2449">
        <w:rPr>
          <w:rStyle w:val="normaltextrun"/>
          <w:rFonts w:ascii="Calibri" w:hAnsi="Calibri" w:cs="Calibri"/>
          <w:sz w:val="26"/>
          <w:szCs w:val="26"/>
          <w:rtl/>
        </w:rPr>
        <w:t xml:space="preserve"> عدة</w:t>
      </w:r>
      <w:r w:rsidR="005151FB" w:rsidRPr="000B2449">
        <w:rPr>
          <w:rStyle w:val="normaltextrun"/>
          <w:rFonts w:ascii="Calibri" w:hAnsi="Calibri" w:cs="Calibri"/>
          <w:sz w:val="26"/>
          <w:szCs w:val="26"/>
          <w:rtl/>
        </w:rPr>
        <w:t xml:space="preserve"> ومنها </w:t>
      </w:r>
      <w:r w:rsidR="000D66BB" w:rsidRPr="000B2449">
        <w:rPr>
          <w:rStyle w:val="normaltextrun"/>
          <w:rFonts w:ascii="Calibri" w:hAnsi="Calibri" w:cs="Calibri"/>
          <w:sz w:val="26"/>
          <w:szCs w:val="26"/>
          <w:rtl/>
        </w:rPr>
        <w:t xml:space="preserve">طاولات مستديرة </w:t>
      </w:r>
      <w:r w:rsidR="00E71928" w:rsidRPr="000B2449">
        <w:rPr>
          <w:rStyle w:val="normaltextrun"/>
          <w:rFonts w:ascii="Calibri" w:hAnsi="Calibri" w:cs="Calibri"/>
          <w:sz w:val="26"/>
          <w:szCs w:val="26"/>
          <w:rtl/>
        </w:rPr>
        <w:t>و</w:t>
      </w:r>
      <w:r w:rsidR="000D66BB" w:rsidRPr="000B2449">
        <w:rPr>
          <w:rStyle w:val="normaltextrun"/>
          <w:rFonts w:ascii="Calibri" w:hAnsi="Calibri" w:cs="Calibri"/>
          <w:sz w:val="26"/>
          <w:szCs w:val="26"/>
          <w:rtl/>
        </w:rPr>
        <w:t>نقاشات</w:t>
      </w:r>
      <w:r w:rsidR="00E71928" w:rsidRPr="000B2449">
        <w:rPr>
          <w:rStyle w:val="normaltextrun"/>
          <w:rFonts w:ascii="Calibri" w:hAnsi="Calibri" w:cs="Calibri"/>
          <w:sz w:val="26"/>
          <w:szCs w:val="26"/>
          <w:rtl/>
        </w:rPr>
        <w:t xml:space="preserve"> ولقاءات توجيهية</w:t>
      </w:r>
      <w:r w:rsidR="00551E1D" w:rsidRPr="000B2449">
        <w:rPr>
          <w:rStyle w:val="normaltextrun"/>
          <w:rFonts w:ascii="Calibri" w:hAnsi="Calibri" w:cs="Calibri"/>
          <w:sz w:val="26"/>
          <w:szCs w:val="26"/>
          <w:rtl/>
        </w:rPr>
        <w:t xml:space="preserve"> </w:t>
      </w:r>
      <w:r w:rsidR="0029796C" w:rsidRPr="000B2449">
        <w:rPr>
          <w:rStyle w:val="normaltextrun"/>
          <w:rFonts w:ascii="Calibri" w:hAnsi="Calibri" w:cs="Calibri"/>
          <w:sz w:val="26"/>
          <w:szCs w:val="26"/>
          <w:rtl/>
        </w:rPr>
        <w:t>و</w:t>
      </w:r>
      <w:r w:rsidR="006A27A7" w:rsidRPr="000B2449">
        <w:rPr>
          <w:rStyle w:val="normaltextrun"/>
          <w:rFonts w:ascii="Calibri" w:hAnsi="Calibri" w:cs="Calibri"/>
          <w:sz w:val="26"/>
          <w:szCs w:val="26"/>
          <w:rtl/>
          <w:lang w:bidi="ar-LB"/>
        </w:rPr>
        <w:t xml:space="preserve">يوفر مجموعة من الخدمات والتدريبات </w:t>
      </w:r>
      <w:r w:rsidR="00EE1B81" w:rsidRPr="000B2449">
        <w:rPr>
          <w:rStyle w:val="normaltextrun"/>
          <w:rFonts w:ascii="Calibri" w:hAnsi="Calibri" w:cs="Calibri"/>
          <w:sz w:val="26"/>
          <w:szCs w:val="26"/>
          <w:rtl/>
          <w:lang w:bidi="ar-LB"/>
        </w:rPr>
        <w:t xml:space="preserve">لاسيما في مجال المهارات </w:t>
      </w:r>
      <w:r w:rsidR="004B1B86" w:rsidRPr="000B2449">
        <w:rPr>
          <w:rStyle w:val="normaltextrun"/>
          <w:rFonts w:ascii="Calibri" w:hAnsi="Calibri" w:cs="Calibri"/>
          <w:sz w:val="26"/>
          <w:szCs w:val="26"/>
          <w:rtl/>
        </w:rPr>
        <w:t xml:space="preserve">والشهادات. </w:t>
      </w:r>
      <w:r w:rsidR="007239D1">
        <w:rPr>
          <w:rStyle w:val="normaltextrun"/>
          <w:rFonts w:ascii="Calibri" w:hAnsi="Calibri" w:cs="Calibri" w:hint="cs"/>
          <w:sz w:val="26"/>
          <w:szCs w:val="26"/>
          <w:rtl/>
        </w:rPr>
        <w:t>ويشكّل</w:t>
      </w:r>
      <w:r w:rsidR="0068235C" w:rsidRPr="000B2449">
        <w:rPr>
          <w:rStyle w:val="normaltextrun"/>
          <w:rFonts w:ascii="Calibri" w:hAnsi="Calibri" w:cs="Calibri"/>
          <w:sz w:val="26"/>
          <w:szCs w:val="26"/>
          <w:rtl/>
        </w:rPr>
        <w:t xml:space="preserve"> </w:t>
      </w:r>
      <w:r w:rsidR="00A07DBC" w:rsidRPr="000B2449">
        <w:rPr>
          <w:rStyle w:val="normaltextrun"/>
          <w:rFonts w:ascii="Calibri" w:hAnsi="Calibri" w:cs="Calibri"/>
          <w:sz w:val="26"/>
          <w:szCs w:val="26"/>
          <w:rtl/>
        </w:rPr>
        <w:t>الـ</w:t>
      </w:r>
      <w:r w:rsidR="00A07DBC" w:rsidRPr="000B2449">
        <w:rPr>
          <w:rStyle w:val="normaltextrun"/>
          <w:rFonts w:ascii="Calibri" w:hAnsi="Calibri" w:cs="Calibri"/>
          <w:sz w:val="26"/>
          <w:szCs w:val="26"/>
        </w:rPr>
        <w:t>CEF</w:t>
      </w:r>
      <w:r w:rsidR="00A07DBC" w:rsidRPr="000B2449">
        <w:rPr>
          <w:rStyle w:val="normaltextrun"/>
          <w:rFonts w:ascii="Calibri" w:hAnsi="Calibri" w:cs="Calibri"/>
          <w:sz w:val="26"/>
          <w:szCs w:val="26"/>
          <w:rtl/>
          <w:lang w:bidi="ar-LB"/>
        </w:rPr>
        <w:t xml:space="preserve"> </w:t>
      </w:r>
      <w:r w:rsidR="00A809EE" w:rsidRPr="000B2449">
        <w:rPr>
          <w:rStyle w:val="normaltextrun"/>
          <w:rFonts w:ascii="Calibri" w:hAnsi="Calibri" w:cs="Calibri"/>
          <w:sz w:val="26"/>
          <w:szCs w:val="26"/>
          <w:rtl/>
        </w:rPr>
        <w:t>أيضاً</w:t>
      </w:r>
      <w:r w:rsidR="00A809EE" w:rsidRPr="000B2449">
        <w:rPr>
          <w:rStyle w:val="normaltextrun"/>
          <w:rFonts w:ascii="Calibri" w:hAnsi="Calibri" w:cs="Calibri"/>
          <w:sz w:val="26"/>
          <w:szCs w:val="26"/>
          <w:rtl/>
          <w:lang w:bidi="ar-LB"/>
        </w:rPr>
        <w:t xml:space="preserve"> </w:t>
      </w:r>
      <w:r w:rsidR="00A07DBC" w:rsidRPr="000B2449">
        <w:rPr>
          <w:rStyle w:val="normaltextrun"/>
          <w:rFonts w:ascii="Calibri" w:hAnsi="Calibri" w:cs="Calibri"/>
          <w:sz w:val="26"/>
          <w:szCs w:val="26"/>
          <w:rtl/>
          <w:lang w:bidi="ar-LB"/>
        </w:rPr>
        <w:t xml:space="preserve">مكاناً </w:t>
      </w:r>
      <w:r w:rsidR="007239D1">
        <w:rPr>
          <w:rStyle w:val="normaltextrun"/>
          <w:rFonts w:ascii="Calibri" w:hAnsi="Calibri" w:cs="Calibri" w:hint="cs"/>
          <w:sz w:val="26"/>
          <w:szCs w:val="26"/>
          <w:rtl/>
          <w:lang w:bidi="ar-LB"/>
        </w:rPr>
        <w:t>لتوفير</w:t>
      </w:r>
      <w:r w:rsidR="00A07DBC" w:rsidRPr="000B2449">
        <w:rPr>
          <w:rStyle w:val="normaltextrun"/>
          <w:rFonts w:ascii="Calibri" w:hAnsi="Calibri" w:cs="Calibri"/>
          <w:sz w:val="26"/>
          <w:szCs w:val="26"/>
          <w:rtl/>
          <w:lang w:bidi="ar-LB"/>
        </w:rPr>
        <w:t xml:space="preserve"> </w:t>
      </w:r>
      <w:r w:rsidR="00FE01CA" w:rsidRPr="000B2449">
        <w:rPr>
          <w:rStyle w:val="normaltextrun"/>
          <w:rFonts w:ascii="Calibri" w:hAnsi="Calibri" w:cs="Calibri"/>
          <w:sz w:val="26"/>
          <w:szCs w:val="26"/>
          <w:rtl/>
          <w:lang w:bidi="ar-LB"/>
        </w:rPr>
        <w:t xml:space="preserve">خدمات ما قبل الاحتضان لمشاريع ريادة الاعمال. </w:t>
      </w:r>
    </w:p>
    <w:p w14:paraId="3C5362D7" w14:textId="75AB6FE9" w:rsidR="00724C71" w:rsidRPr="007239D1" w:rsidRDefault="008D3DD2" w:rsidP="002A0F04">
      <w:pPr>
        <w:pStyle w:val="Standard"/>
        <w:bidi/>
        <w:jc w:val="both"/>
        <w:rPr>
          <w:rFonts w:asciiTheme="minorHAnsi" w:hAnsiTheme="minorHAnsi" w:cstheme="minorHAnsi"/>
          <w:sz w:val="26"/>
          <w:szCs w:val="26"/>
          <w:lang w:bidi="ar-LB"/>
        </w:rPr>
      </w:pPr>
      <w:r w:rsidRPr="007239D1">
        <w:rPr>
          <w:rFonts w:asciiTheme="minorHAnsi" w:hAnsiTheme="minorHAnsi" w:cstheme="minorHAnsi"/>
          <w:sz w:val="26"/>
          <w:szCs w:val="26"/>
          <w:rtl/>
        </w:rPr>
        <w:t>و</w:t>
      </w:r>
      <w:r w:rsidRPr="007239D1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في الختام، عُرِضت الاستراتيجية الرقمية للوكالة الجامعية للفرنكوفونية وأنشطة الأحرام الرقمية الفرنكوفونية في </w:t>
      </w:r>
      <w:r w:rsidR="00FF6710" w:rsidRPr="007239D1">
        <w:rPr>
          <w:rFonts w:asciiTheme="minorHAnsi" w:hAnsiTheme="minorHAnsi" w:cstheme="minorHAnsi"/>
          <w:sz w:val="26"/>
          <w:szCs w:val="26"/>
          <w:rtl/>
          <w:lang w:bidi="ar-LB"/>
        </w:rPr>
        <w:t>طرابلس وال</w:t>
      </w:r>
      <w:r w:rsidR="00935AA2" w:rsidRPr="007239D1">
        <w:rPr>
          <w:rFonts w:asciiTheme="minorHAnsi" w:hAnsiTheme="minorHAnsi" w:cstheme="minorHAnsi"/>
          <w:sz w:val="26"/>
          <w:szCs w:val="26"/>
          <w:rtl/>
          <w:lang w:bidi="ar-LB"/>
        </w:rPr>
        <w:t>إسكندرية في سياق التحوّل الرقمي</w:t>
      </w:r>
      <w:r w:rsidRPr="007239D1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 مع التشديد على أهمّية </w:t>
      </w:r>
      <w:r w:rsidR="00A631C5" w:rsidRPr="007239D1">
        <w:rPr>
          <w:rFonts w:asciiTheme="minorHAnsi" w:hAnsiTheme="minorHAnsi" w:cstheme="minorHAnsi"/>
          <w:sz w:val="26"/>
          <w:szCs w:val="26"/>
          <w:rtl/>
          <w:lang w:bidi="ar-LB"/>
        </w:rPr>
        <w:t>تطوير</w:t>
      </w:r>
      <w:r w:rsidRPr="007239D1">
        <w:rPr>
          <w:rFonts w:asciiTheme="minorHAnsi" w:hAnsiTheme="minorHAnsi" w:cstheme="minorHAnsi"/>
          <w:sz w:val="26"/>
          <w:szCs w:val="26"/>
          <w:rtl/>
          <w:lang w:bidi="ar-LB"/>
        </w:rPr>
        <w:t xml:space="preserve"> دورات التدريب عن بعد في كافّة بلدان المنطقة. </w:t>
      </w:r>
    </w:p>
    <w:p w14:paraId="4CF1329B" w14:textId="5C2F52FA" w:rsidR="006F0964" w:rsidRDefault="006F0964" w:rsidP="006F0964">
      <w:pPr>
        <w:pStyle w:val="Standard"/>
        <w:bidi/>
        <w:jc w:val="both"/>
        <w:rPr>
          <w:rFonts w:ascii="Simplified Arabic" w:hAnsi="Simplified Arabic" w:cs="Simplified Arabic"/>
          <w:lang w:bidi="ar-LB"/>
        </w:rPr>
      </w:pPr>
    </w:p>
    <w:p w14:paraId="749F6450" w14:textId="77777777" w:rsidR="006F0964" w:rsidRPr="00BC208F" w:rsidRDefault="006F0964" w:rsidP="006F0964">
      <w:pPr>
        <w:pStyle w:val="Standard"/>
        <w:bidi/>
        <w:jc w:val="both"/>
        <w:rPr>
          <w:rFonts w:asciiTheme="minorHAnsi" w:hAnsiTheme="minorHAnsi" w:cstheme="minorHAnsi"/>
          <w:b/>
          <w:bCs/>
          <w:rtl/>
          <w:lang w:bidi="ar-LB"/>
        </w:rPr>
      </w:pPr>
      <w:r w:rsidRPr="00BC208F">
        <w:rPr>
          <w:rFonts w:asciiTheme="minorHAnsi" w:hAnsiTheme="minorHAnsi" w:cstheme="minorHAnsi"/>
          <w:b/>
          <w:bCs/>
          <w:rtl/>
          <w:lang w:bidi="ar-LB"/>
        </w:rPr>
        <w:t>للتنسيق مع الصحافة:</w:t>
      </w:r>
    </w:p>
    <w:p w14:paraId="21D83AB7" w14:textId="77777777" w:rsidR="006F0964" w:rsidRPr="00BC208F" w:rsidRDefault="006F0964" w:rsidP="006F0964">
      <w:pPr>
        <w:pStyle w:val="Standard"/>
        <w:bidi/>
        <w:jc w:val="both"/>
        <w:rPr>
          <w:rFonts w:asciiTheme="minorHAnsi" w:hAnsiTheme="minorHAnsi" w:cstheme="minorHAnsi"/>
          <w:rtl/>
          <w:lang w:bidi="ar-LB"/>
        </w:rPr>
      </w:pPr>
      <w:r w:rsidRPr="00BC208F">
        <w:rPr>
          <w:rFonts w:asciiTheme="minorHAnsi" w:hAnsiTheme="minorHAnsi" w:cstheme="minorHAnsi"/>
          <w:rtl/>
          <w:lang w:bidi="ar-LB"/>
        </w:rPr>
        <w:t>جويل رياشي</w:t>
      </w:r>
    </w:p>
    <w:p w14:paraId="7F513673" w14:textId="77777777" w:rsidR="006F0964" w:rsidRPr="00BC208F" w:rsidRDefault="006F0964" w:rsidP="006F0964">
      <w:pPr>
        <w:pStyle w:val="Standard"/>
        <w:bidi/>
        <w:jc w:val="both"/>
        <w:rPr>
          <w:rFonts w:asciiTheme="minorHAnsi" w:hAnsiTheme="minorHAnsi" w:cstheme="minorHAnsi"/>
          <w:rtl/>
          <w:lang w:bidi="ar-LB"/>
        </w:rPr>
      </w:pPr>
      <w:r w:rsidRPr="00BC208F">
        <w:rPr>
          <w:rFonts w:asciiTheme="minorHAnsi" w:hAnsiTheme="minorHAnsi" w:cstheme="minorHAnsi"/>
          <w:rtl/>
          <w:lang w:bidi="ar-LB"/>
        </w:rPr>
        <w:t>المسؤولة الاعلامية</w:t>
      </w:r>
    </w:p>
    <w:p w14:paraId="69A2CDEA" w14:textId="5816F8A3" w:rsidR="006F0964" w:rsidRPr="00BC208F" w:rsidRDefault="006F0964" w:rsidP="006F0964">
      <w:pPr>
        <w:pStyle w:val="Standard"/>
        <w:bidi/>
        <w:jc w:val="both"/>
        <w:rPr>
          <w:rFonts w:asciiTheme="minorHAnsi" w:hAnsiTheme="minorHAnsi" w:cstheme="minorHAnsi"/>
          <w:lang w:bidi="ar-LB"/>
        </w:rPr>
      </w:pPr>
      <w:r w:rsidRPr="00BC208F">
        <w:rPr>
          <w:rFonts w:asciiTheme="minorHAnsi" w:hAnsiTheme="minorHAnsi" w:cstheme="minorHAnsi"/>
          <w:rtl/>
          <w:lang w:bidi="ar-LB"/>
        </w:rPr>
        <w:t>الوكالة الجامعية للفرنكوفونية في الشرق الأوسط</w:t>
      </w:r>
    </w:p>
    <w:p w14:paraId="25C278D4" w14:textId="5328F6F7" w:rsidR="006F0964" w:rsidRPr="00BC208F" w:rsidRDefault="00B3247D" w:rsidP="006F0964">
      <w:pPr>
        <w:bidi/>
        <w:spacing w:after="0" w:line="276" w:lineRule="auto"/>
        <w:rPr>
          <w:rFonts w:cstheme="minorHAnsi"/>
          <w:sz w:val="24"/>
          <w:szCs w:val="24"/>
        </w:rPr>
      </w:pPr>
      <w:hyperlink r:id="rId6" w:history="1">
        <w:r w:rsidR="006F0964" w:rsidRPr="00BC208F">
          <w:rPr>
            <w:rStyle w:val="Lienhypertexte"/>
            <w:rFonts w:cstheme="minorHAnsi"/>
            <w:sz w:val="24"/>
            <w:szCs w:val="24"/>
            <w:lang w:val="de-DE"/>
          </w:rPr>
          <w:t>joelle.riachi@auf.org</w:t>
        </w:r>
      </w:hyperlink>
    </w:p>
    <w:p w14:paraId="659737E5" w14:textId="77777777" w:rsidR="00412F00" w:rsidRPr="00BC208F" w:rsidRDefault="00412F00" w:rsidP="00412F00">
      <w:pPr>
        <w:bidi/>
        <w:spacing w:after="0" w:line="276" w:lineRule="auto"/>
        <w:rPr>
          <w:rFonts w:cstheme="minorHAnsi"/>
          <w:sz w:val="24"/>
          <w:szCs w:val="24"/>
          <w:rtl/>
        </w:rPr>
      </w:pPr>
    </w:p>
    <w:p w14:paraId="30A2294B" w14:textId="09E3034F" w:rsidR="006F0964" w:rsidRPr="00BC208F" w:rsidRDefault="006F0964" w:rsidP="006F0964">
      <w:pPr>
        <w:bidi/>
        <w:spacing w:after="240" w:line="276" w:lineRule="auto"/>
        <w:rPr>
          <w:rFonts w:cstheme="minorHAnsi"/>
          <w:b/>
          <w:bCs/>
          <w:sz w:val="24"/>
          <w:szCs w:val="24"/>
        </w:rPr>
      </w:pPr>
      <w:r w:rsidRPr="00BC208F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C208F">
        <w:rPr>
          <w:rFonts w:cstheme="minorHAnsi"/>
          <w:b/>
          <w:bCs/>
          <w:sz w:val="24"/>
          <w:szCs w:val="24"/>
          <w:rtl/>
          <w:lang w:bidi="ar-LB"/>
        </w:rPr>
        <w:t xml:space="preserve">رقم الهاتف: </w:t>
      </w:r>
      <w:r w:rsidRPr="00BC208F">
        <w:rPr>
          <w:rFonts w:cstheme="minorHAnsi"/>
          <w:b/>
          <w:bCs/>
          <w:color w:val="000000"/>
          <w:sz w:val="24"/>
          <w:szCs w:val="24"/>
        </w:rPr>
        <w:t xml:space="preserve">+961 </w:t>
      </w:r>
      <w:r w:rsidR="00FC375D" w:rsidRPr="00BC208F">
        <w:rPr>
          <w:rFonts w:cstheme="minorHAnsi"/>
          <w:b/>
          <w:bCs/>
          <w:color w:val="000000"/>
          <w:sz w:val="24"/>
          <w:szCs w:val="24"/>
        </w:rPr>
        <w:t>3</w:t>
      </w:r>
      <w:r w:rsidRPr="00BC208F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FC375D" w:rsidRPr="00BC208F">
        <w:rPr>
          <w:rFonts w:cstheme="minorHAnsi"/>
          <w:b/>
          <w:bCs/>
          <w:color w:val="000000"/>
          <w:sz w:val="24"/>
          <w:szCs w:val="24"/>
        </w:rPr>
        <w:t>780928</w:t>
      </w:r>
    </w:p>
    <w:p w14:paraId="2B53A30F" w14:textId="77777777" w:rsidR="0099630C" w:rsidRDefault="0099630C"/>
    <w:sectPr w:rsidR="00996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C0D"/>
    <w:multiLevelType w:val="hybridMultilevel"/>
    <w:tmpl w:val="83F4B4B4"/>
    <w:lvl w:ilvl="0" w:tplc="EF38F5C0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87"/>
    <w:rsid w:val="00014408"/>
    <w:rsid w:val="000254E0"/>
    <w:rsid w:val="00027885"/>
    <w:rsid w:val="00033CA4"/>
    <w:rsid w:val="00052EB4"/>
    <w:rsid w:val="000A0C23"/>
    <w:rsid w:val="000B2449"/>
    <w:rsid w:val="000D66BB"/>
    <w:rsid w:val="000F336D"/>
    <w:rsid w:val="00121EDC"/>
    <w:rsid w:val="00123D7B"/>
    <w:rsid w:val="001949F9"/>
    <w:rsid w:val="001A2918"/>
    <w:rsid w:val="001B7D6F"/>
    <w:rsid w:val="001E66B3"/>
    <w:rsid w:val="001F47FF"/>
    <w:rsid w:val="00216687"/>
    <w:rsid w:val="0022761C"/>
    <w:rsid w:val="00242995"/>
    <w:rsid w:val="0029796C"/>
    <w:rsid w:val="002A0F04"/>
    <w:rsid w:val="002B1A83"/>
    <w:rsid w:val="003016F3"/>
    <w:rsid w:val="00320F06"/>
    <w:rsid w:val="00333636"/>
    <w:rsid w:val="00360B64"/>
    <w:rsid w:val="0037335F"/>
    <w:rsid w:val="00386D02"/>
    <w:rsid w:val="00391E14"/>
    <w:rsid w:val="00394B2E"/>
    <w:rsid w:val="003C2D2F"/>
    <w:rsid w:val="00412F00"/>
    <w:rsid w:val="00460DB7"/>
    <w:rsid w:val="004633E5"/>
    <w:rsid w:val="004B1B86"/>
    <w:rsid w:val="004B603B"/>
    <w:rsid w:val="004B64FD"/>
    <w:rsid w:val="004C72C2"/>
    <w:rsid w:val="004D6855"/>
    <w:rsid w:val="004E32FE"/>
    <w:rsid w:val="004E4659"/>
    <w:rsid w:val="00513E7B"/>
    <w:rsid w:val="005151FB"/>
    <w:rsid w:val="00551E1D"/>
    <w:rsid w:val="00563443"/>
    <w:rsid w:val="005C5478"/>
    <w:rsid w:val="005C7FB8"/>
    <w:rsid w:val="005F015A"/>
    <w:rsid w:val="005F6247"/>
    <w:rsid w:val="006315B6"/>
    <w:rsid w:val="00645A73"/>
    <w:rsid w:val="00666DA1"/>
    <w:rsid w:val="0068235C"/>
    <w:rsid w:val="00684913"/>
    <w:rsid w:val="00687525"/>
    <w:rsid w:val="006A27A7"/>
    <w:rsid w:val="006B3B4C"/>
    <w:rsid w:val="006B5755"/>
    <w:rsid w:val="006C4646"/>
    <w:rsid w:val="006D44A9"/>
    <w:rsid w:val="006F0964"/>
    <w:rsid w:val="007239D1"/>
    <w:rsid w:val="00724C71"/>
    <w:rsid w:val="00733663"/>
    <w:rsid w:val="00773EAF"/>
    <w:rsid w:val="007838F3"/>
    <w:rsid w:val="007A7FC8"/>
    <w:rsid w:val="007C2B0B"/>
    <w:rsid w:val="007D54B6"/>
    <w:rsid w:val="007F106C"/>
    <w:rsid w:val="007F32BC"/>
    <w:rsid w:val="008A1AF5"/>
    <w:rsid w:val="008D3DD2"/>
    <w:rsid w:val="008F776F"/>
    <w:rsid w:val="00900952"/>
    <w:rsid w:val="0093598B"/>
    <w:rsid w:val="00935AA2"/>
    <w:rsid w:val="00960238"/>
    <w:rsid w:val="009630A8"/>
    <w:rsid w:val="00982160"/>
    <w:rsid w:val="00992A5D"/>
    <w:rsid w:val="0099630C"/>
    <w:rsid w:val="00A07DBC"/>
    <w:rsid w:val="00A1552E"/>
    <w:rsid w:val="00A5370C"/>
    <w:rsid w:val="00A54CD4"/>
    <w:rsid w:val="00A631C5"/>
    <w:rsid w:val="00A809EE"/>
    <w:rsid w:val="00A94094"/>
    <w:rsid w:val="00AA279C"/>
    <w:rsid w:val="00AD4178"/>
    <w:rsid w:val="00AF44AE"/>
    <w:rsid w:val="00B01F0F"/>
    <w:rsid w:val="00B10ED6"/>
    <w:rsid w:val="00B3247D"/>
    <w:rsid w:val="00B56B33"/>
    <w:rsid w:val="00BC208F"/>
    <w:rsid w:val="00BE7BCF"/>
    <w:rsid w:val="00C646C5"/>
    <w:rsid w:val="00C84B08"/>
    <w:rsid w:val="00C95E36"/>
    <w:rsid w:val="00CA0CAD"/>
    <w:rsid w:val="00CC216B"/>
    <w:rsid w:val="00CE25D9"/>
    <w:rsid w:val="00D126DB"/>
    <w:rsid w:val="00D16D83"/>
    <w:rsid w:val="00D4285F"/>
    <w:rsid w:val="00D83E83"/>
    <w:rsid w:val="00D9346C"/>
    <w:rsid w:val="00DA2932"/>
    <w:rsid w:val="00DD0F39"/>
    <w:rsid w:val="00E0381C"/>
    <w:rsid w:val="00E122DD"/>
    <w:rsid w:val="00E440DF"/>
    <w:rsid w:val="00E71928"/>
    <w:rsid w:val="00E71F79"/>
    <w:rsid w:val="00E914E6"/>
    <w:rsid w:val="00EC2ADB"/>
    <w:rsid w:val="00EE1B81"/>
    <w:rsid w:val="00EE3F99"/>
    <w:rsid w:val="00F00AB4"/>
    <w:rsid w:val="00F16698"/>
    <w:rsid w:val="00F16988"/>
    <w:rsid w:val="00F90152"/>
    <w:rsid w:val="00FC375D"/>
    <w:rsid w:val="00FD0BC0"/>
    <w:rsid w:val="00FD1B51"/>
    <w:rsid w:val="00FE01CA"/>
    <w:rsid w:val="00FF2C48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BA5E"/>
  <w15:chartTrackingRefBased/>
  <w15:docId w15:val="{C84AB8CF-6E1E-4132-9019-761C2CBC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21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216687"/>
  </w:style>
  <w:style w:type="character" w:customStyle="1" w:styleId="eop">
    <w:name w:val="eop"/>
    <w:basedOn w:val="Policepardfaut"/>
    <w:rsid w:val="00216687"/>
  </w:style>
  <w:style w:type="character" w:customStyle="1" w:styleId="scxw94463070">
    <w:name w:val="scxw94463070"/>
    <w:basedOn w:val="Policepardfaut"/>
    <w:rsid w:val="00216687"/>
  </w:style>
  <w:style w:type="character" w:styleId="lev">
    <w:name w:val="Strong"/>
    <w:basedOn w:val="Policepardfaut"/>
    <w:uiPriority w:val="22"/>
    <w:qFormat/>
    <w:rsid w:val="00320F06"/>
    <w:rPr>
      <w:b/>
      <w:bCs/>
    </w:rPr>
  </w:style>
  <w:style w:type="paragraph" w:styleId="Rvision">
    <w:name w:val="Revision"/>
    <w:hidden/>
    <w:uiPriority w:val="99"/>
    <w:semiHidden/>
    <w:rsid w:val="009630A8"/>
    <w:pPr>
      <w:spacing w:after="0" w:line="240" w:lineRule="auto"/>
    </w:pPr>
  </w:style>
  <w:style w:type="paragraph" w:styleId="Corpsdetexte">
    <w:name w:val="Body Text"/>
    <w:basedOn w:val="Normal"/>
    <w:link w:val="CorpsdetexteCar"/>
    <w:semiHidden/>
    <w:rsid w:val="00992A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92A5D"/>
    <w:rPr>
      <w:rFonts w:ascii="Times New Roman" w:eastAsia="Times New Roman" w:hAnsi="Times New Roman" w:cs="Times New Roman"/>
      <w:sz w:val="28"/>
      <w:szCs w:val="20"/>
      <w:lang w:eastAsia="fr-FR"/>
    </w:rPr>
  </w:style>
  <w:style w:type="paragraph" w:customStyle="1" w:styleId="Standard">
    <w:name w:val="Standard"/>
    <w:rsid w:val="00A1552E"/>
    <w:pPr>
      <w:widowControl w:val="0"/>
      <w:suppressAutoHyphens/>
      <w:autoSpaceDN w:val="0"/>
      <w:spacing w:after="0" w:line="240" w:lineRule="auto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character" w:customStyle="1" w:styleId="jlqj4b">
    <w:name w:val="jlqj4b"/>
    <w:basedOn w:val="Policepardfaut"/>
    <w:rsid w:val="00C84B08"/>
  </w:style>
  <w:style w:type="character" w:styleId="Lienhypertexte">
    <w:name w:val="Hyperlink"/>
    <w:semiHidden/>
    <w:rsid w:val="006F096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elle.riachi@auf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114</cp:revision>
  <cp:lastPrinted>2022-02-08T15:20:00Z</cp:lastPrinted>
  <dcterms:created xsi:type="dcterms:W3CDTF">2022-02-09T06:49:00Z</dcterms:created>
  <dcterms:modified xsi:type="dcterms:W3CDTF">2022-02-11T07:47:00Z</dcterms:modified>
</cp:coreProperties>
</file>