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28CA" w14:textId="77777777" w:rsidR="009D2A66" w:rsidRDefault="009D2A66" w:rsidP="009D2A66">
      <w:pPr>
        <w:spacing w:before="100" w:beforeAutospacing="1" w:after="100" w:afterAutospacing="1" w:line="240" w:lineRule="auto"/>
        <w:jc w:val="center"/>
        <w:rPr>
          <w:rStyle w:val="lev"/>
          <w:rFonts w:asciiTheme="majorHAnsi" w:hAnsiTheme="majorHAnsi" w:cstheme="majorHAnsi"/>
          <w:sz w:val="24"/>
          <w:szCs w:val="24"/>
        </w:rPr>
      </w:pPr>
      <w:r>
        <w:rPr>
          <w:noProof/>
        </w:rPr>
        <w:drawing>
          <wp:inline distT="0" distB="0" distL="0" distR="0" wp14:anchorId="70F2D9C2" wp14:editId="445AFBFF">
            <wp:extent cx="1552575" cy="1590443"/>
            <wp:effectExtent l="0" t="0" r="0" b="0"/>
            <wp:docPr id="1" name="Image 1" descr="Capture CONF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CONFREM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947" cy="1608239"/>
                    </a:xfrm>
                    <a:prstGeom prst="rect">
                      <a:avLst/>
                    </a:prstGeom>
                    <a:noFill/>
                    <a:ln>
                      <a:noFill/>
                    </a:ln>
                  </pic:spPr>
                </pic:pic>
              </a:graphicData>
            </a:graphic>
          </wp:inline>
        </w:drawing>
      </w:r>
    </w:p>
    <w:p w14:paraId="08259B2A" w14:textId="77777777" w:rsidR="009D2A66" w:rsidRDefault="009D2A66" w:rsidP="009D2A66">
      <w:pPr>
        <w:spacing w:before="100" w:beforeAutospacing="1" w:after="100" w:afterAutospacing="1" w:line="240" w:lineRule="auto"/>
        <w:jc w:val="center"/>
        <w:rPr>
          <w:rStyle w:val="lev"/>
          <w:rFonts w:asciiTheme="majorHAnsi" w:hAnsiTheme="majorHAnsi" w:cstheme="majorHAnsi"/>
          <w:sz w:val="24"/>
          <w:szCs w:val="24"/>
        </w:rPr>
      </w:pPr>
    </w:p>
    <w:p w14:paraId="25BE3C34" w14:textId="69625D83" w:rsidR="009D2A66" w:rsidRDefault="00C201A6" w:rsidP="009D2A66">
      <w:pPr>
        <w:spacing w:before="100" w:beforeAutospacing="1" w:after="100" w:afterAutospacing="1" w:line="240" w:lineRule="auto"/>
        <w:jc w:val="center"/>
        <w:rPr>
          <w:rStyle w:val="lev"/>
          <w:rFonts w:asciiTheme="majorHAnsi" w:hAnsiTheme="majorHAnsi" w:cstheme="majorHAnsi"/>
          <w:sz w:val="24"/>
          <w:szCs w:val="24"/>
        </w:rPr>
      </w:pPr>
      <w:r>
        <w:rPr>
          <w:rStyle w:val="lev"/>
          <w:rFonts w:asciiTheme="majorHAnsi" w:hAnsiTheme="majorHAnsi" w:cstheme="majorHAnsi"/>
          <w:sz w:val="24"/>
          <w:szCs w:val="24"/>
        </w:rPr>
        <w:t>-</w:t>
      </w:r>
      <w:r w:rsidR="009D2A66">
        <w:rPr>
          <w:rStyle w:val="lev"/>
          <w:rFonts w:asciiTheme="majorHAnsi" w:hAnsiTheme="majorHAnsi" w:cstheme="majorHAnsi"/>
          <w:sz w:val="24"/>
          <w:szCs w:val="24"/>
        </w:rPr>
        <w:t>Communiqué de Presse</w:t>
      </w:r>
      <w:r>
        <w:rPr>
          <w:rStyle w:val="lev"/>
          <w:rFonts w:asciiTheme="majorHAnsi" w:hAnsiTheme="majorHAnsi" w:cstheme="majorHAnsi"/>
          <w:sz w:val="24"/>
          <w:szCs w:val="24"/>
        </w:rPr>
        <w:t>-</w:t>
      </w:r>
    </w:p>
    <w:p w14:paraId="0E18553C" w14:textId="77777777" w:rsidR="009D2A66" w:rsidRDefault="009D2A66" w:rsidP="009D2A66">
      <w:pPr>
        <w:spacing w:before="100" w:beforeAutospacing="1" w:after="100" w:afterAutospacing="1" w:line="240" w:lineRule="auto"/>
        <w:rPr>
          <w:rStyle w:val="lev"/>
          <w:rFonts w:asciiTheme="majorHAnsi" w:hAnsiTheme="majorHAnsi" w:cstheme="majorHAnsi"/>
          <w:sz w:val="24"/>
          <w:szCs w:val="24"/>
        </w:rPr>
      </w:pPr>
    </w:p>
    <w:p w14:paraId="568A9711" w14:textId="77777777" w:rsidR="009D2A66" w:rsidRPr="00A1041C" w:rsidRDefault="009D2A66" w:rsidP="009D2A66">
      <w:pPr>
        <w:spacing w:before="100" w:beforeAutospacing="1" w:after="100" w:afterAutospacing="1" w:line="240" w:lineRule="auto"/>
        <w:rPr>
          <w:rStyle w:val="lev"/>
          <w:sz w:val="24"/>
          <w:szCs w:val="24"/>
        </w:rPr>
      </w:pPr>
      <w:r w:rsidRPr="00C201A6">
        <w:rPr>
          <w:rStyle w:val="lev"/>
          <w:sz w:val="24"/>
          <w:szCs w:val="24"/>
        </w:rPr>
        <w:t xml:space="preserve">12ème Assemblée générale de </w:t>
      </w:r>
      <w:r w:rsidRPr="00A1041C">
        <w:rPr>
          <w:rStyle w:val="lev"/>
          <w:sz w:val="24"/>
          <w:szCs w:val="24"/>
        </w:rPr>
        <w:t>la</w:t>
      </w:r>
      <w:r w:rsidRPr="00C201A6">
        <w:rPr>
          <w:rStyle w:val="lev"/>
        </w:rPr>
        <w:t xml:space="preserve"> </w:t>
      </w:r>
      <w:r w:rsidRPr="00A1041C">
        <w:rPr>
          <w:rStyle w:val="lev"/>
          <w:sz w:val="24"/>
          <w:szCs w:val="24"/>
        </w:rPr>
        <w:t>Conférence des recteurs de la région du Moyen-Orient</w:t>
      </w:r>
    </w:p>
    <w:p w14:paraId="1DD250D4" w14:textId="77777777" w:rsidR="009D2A66" w:rsidRDefault="009D2A66" w:rsidP="009D2A66">
      <w:pPr>
        <w:spacing w:before="100" w:beforeAutospacing="1" w:after="100" w:afterAutospacing="1" w:line="240" w:lineRule="auto"/>
        <w:rPr>
          <w:rFonts w:asciiTheme="majorHAnsi" w:eastAsia="Times New Roman" w:hAnsiTheme="majorHAnsi" w:cstheme="majorHAnsi"/>
          <w:sz w:val="24"/>
          <w:szCs w:val="24"/>
          <w:lang w:eastAsia="fr-FR"/>
        </w:rPr>
      </w:pPr>
    </w:p>
    <w:p w14:paraId="28738CD7" w14:textId="6B6E7025" w:rsidR="009D2A66" w:rsidRDefault="009D2A66" w:rsidP="009D2A66">
      <w:pPr>
        <w:spacing w:before="100" w:beforeAutospacing="1" w:after="100" w:afterAutospacing="1"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b/>
          <w:bCs/>
          <w:sz w:val="24"/>
          <w:szCs w:val="24"/>
          <w:lang w:eastAsia="fr-FR"/>
        </w:rPr>
        <w:t>Alexandrie le 2 décembre 2019 -</w:t>
      </w:r>
      <w:r>
        <w:rPr>
          <w:rFonts w:asciiTheme="majorHAnsi" w:eastAsia="Times New Roman" w:hAnsiTheme="majorHAnsi" w:cstheme="majorHAnsi"/>
          <w:sz w:val="24"/>
          <w:szCs w:val="24"/>
          <w:lang w:eastAsia="fr-FR"/>
        </w:rPr>
        <w:t xml:space="preserve"> La Conférence des recteurs de la région du Moyen-Orient (CONFREMO) a tenu sa </w:t>
      </w:r>
      <w:r w:rsidRPr="00545F87">
        <w:rPr>
          <w:rStyle w:val="lev"/>
          <w:rFonts w:asciiTheme="majorHAnsi" w:hAnsiTheme="majorHAnsi" w:cstheme="majorHAnsi"/>
          <w:b w:val="0"/>
          <w:bCs w:val="0"/>
          <w:sz w:val="24"/>
          <w:szCs w:val="24"/>
        </w:rPr>
        <w:t>12ème</w:t>
      </w:r>
      <w:r>
        <w:rPr>
          <w:rFonts w:asciiTheme="majorHAnsi" w:eastAsia="Times New Roman" w:hAnsiTheme="majorHAnsi" w:cstheme="majorHAnsi"/>
          <w:b/>
          <w:bCs/>
          <w:sz w:val="24"/>
          <w:szCs w:val="24"/>
          <w:lang w:eastAsia="fr-FR"/>
        </w:rPr>
        <w:t xml:space="preserve"> </w:t>
      </w:r>
      <w:r>
        <w:rPr>
          <w:rFonts w:asciiTheme="majorHAnsi" w:eastAsia="Times New Roman" w:hAnsiTheme="majorHAnsi" w:cstheme="majorHAnsi"/>
          <w:sz w:val="24"/>
          <w:szCs w:val="24"/>
          <w:lang w:eastAsia="fr-FR"/>
        </w:rPr>
        <w:t xml:space="preserve">Assemblée générale </w:t>
      </w:r>
      <w:r w:rsidRPr="00545F87">
        <w:rPr>
          <w:rStyle w:val="lev"/>
          <w:rFonts w:asciiTheme="majorHAnsi" w:hAnsiTheme="majorHAnsi" w:cstheme="majorHAnsi"/>
          <w:b w:val="0"/>
          <w:bCs w:val="0"/>
          <w:sz w:val="24"/>
          <w:szCs w:val="24"/>
        </w:rPr>
        <w:t>le 1 décembre 2019 à l’Université d’Alexandrie</w:t>
      </w:r>
      <w:r w:rsidR="00A1041C">
        <w:rPr>
          <w:rStyle w:val="lev"/>
          <w:rFonts w:asciiTheme="majorHAnsi" w:hAnsiTheme="majorHAnsi" w:cstheme="majorHAnsi"/>
          <w:b w:val="0"/>
          <w:bCs w:val="0"/>
          <w:sz w:val="24"/>
          <w:szCs w:val="24"/>
        </w:rPr>
        <w:t xml:space="preserve"> en Egypte,</w:t>
      </w:r>
      <w:r w:rsidRPr="00545F87">
        <w:rPr>
          <w:rStyle w:val="lev"/>
          <w:rFonts w:asciiTheme="majorHAnsi" w:hAnsiTheme="majorHAnsi" w:cstheme="majorHAnsi"/>
          <w:b w:val="0"/>
          <w:bCs w:val="0"/>
          <w:sz w:val="24"/>
          <w:szCs w:val="24"/>
        </w:rPr>
        <w:t xml:space="preserve"> avec le soutien de l’Agence universitaire de la Francophonie</w:t>
      </w:r>
      <w:r>
        <w:rPr>
          <w:rFonts w:asciiTheme="majorHAnsi" w:eastAsia="Times New Roman" w:hAnsiTheme="majorHAnsi" w:cstheme="majorHAnsi"/>
          <w:sz w:val="24"/>
          <w:szCs w:val="24"/>
          <w:lang w:eastAsia="fr-FR"/>
        </w:rPr>
        <w:t xml:space="preserve">. Cette rencontre, qui a réuni une soixantaine de participants, </w:t>
      </w:r>
      <w:r>
        <w:rPr>
          <w:rFonts w:asciiTheme="majorHAnsi" w:hAnsiTheme="majorHAnsi" w:cstheme="majorHAnsi"/>
          <w:sz w:val="24"/>
          <w:szCs w:val="24"/>
        </w:rPr>
        <w:t>a permis des échanges fructueux entre dirigeants des établissements membres et de mener une réflexion sur les projets engagés par la CONFREMO</w:t>
      </w:r>
      <w:r>
        <w:rPr>
          <w:rFonts w:asciiTheme="majorHAnsi" w:eastAsia="Times New Roman" w:hAnsiTheme="majorHAnsi" w:cstheme="majorHAnsi"/>
          <w:sz w:val="24"/>
          <w:szCs w:val="24"/>
          <w:lang w:eastAsia="fr-FR"/>
        </w:rPr>
        <w:t>.</w:t>
      </w:r>
    </w:p>
    <w:p w14:paraId="39965B7E" w14:textId="6B56D1E8" w:rsidR="00922D2C" w:rsidRDefault="00922D2C" w:rsidP="009D2A66">
      <w:pPr>
        <w:spacing w:before="100" w:beforeAutospacing="1" w:after="100" w:afterAutospacing="1"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Trois grands ateliers ont eu lieu durant la première journée articulés autour </w:t>
      </w:r>
      <w:r w:rsidR="00545F87">
        <w:rPr>
          <w:rFonts w:asciiTheme="majorHAnsi" w:eastAsia="Times New Roman" w:hAnsiTheme="majorHAnsi" w:cstheme="majorHAnsi"/>
          <w:sz w:val="24"/>
          <w:szCs w:val="24"/>
          <w:lang w:eastAsia="fr-FR"/>
        </w:rPr>
        <w:t xml:space="preserve">de </w:t>
      </w:r>
      <w:r w:rsidR="00545F87">
        <w:rPr>
          <w:rFonts w:asciiTheme="majorHAnsi" w:hAnsiTheme="majorHAnsi" w:cstheme="majorHAnsi"/>
          <w:sz w:val="24"/>
          <w:szCs w:val="24"/>
        </w:rPr>
        <w:t>«</w:t>
      </w:r>
      <w:r>
        <w:rPr>
          <w:rFonts w:asciiTheme="majorHAnsi" w:hAnsiTheme="majorHAnsi" w:cstheme="majorHAnsi"/>
          <w:sz w:val="24"/>
          <w:szCs w:val="24"/>
        </w:rPr>
        <w:t xml:space="preserve"> l’intelligence artificielle, cybersécurité et Big Data » </w:t>
      </w:r>
      <w:r w:rsidR="001F073D" w:rsidRPr="005908E9">
        <w:rPr>
          <w:rFonts w:asciiTheme="majorHAnsi" w:hAnsiTheme="majorHAnsi" w:cstheme="majorHAnsi"/>
          <w:sz w:val="24"/>
          <w:szCs w:val="24"/>
        </w:rPr>
        <w:t xml:space="preserve">qui ont permis de </w:t>
      </w:r>
      <w:r w:rsidR="007B4E52" w:rsidRPr="005908E9">
        <w:rPr>
          <w:rFonts w:asciiTheme="majorHAnsi" w:hAnsiTheme="majorHAnsi" w:cstheme="majorHAnsi"/>
          <w:sz w:val="24"/>
          <w:szCs w:val="24"/>
        </w:rPr>
        <w:t>débatt</w:t>
      </w:r>
      <w:r w:rsidR="001F073D" w:rsidRPr="005908E9">
        <w:rPr>
          <w:rFonts w:asciiTheme="majorHAnsi" w:hAnsiTheme="majorHAnsi" w:cstheme="majorHAnsi"/>
          <w:sz w:val="24"/>
          <w:szCs w:val="24"/>
        </w:rPr>
        <w:t>re</w:t>
      </w:r>
      <w:r w:rsidR="007B4E52" w:rsidRPr="005908E9">
        <w:rPr>
          <w:rFonts w:asciiTheme="majorHAnsi" w:hAnsiTheme="majorHAnsi" w:cstheme="majorHAnsi"/>
          <w:sz w:val="24"/>
          <w:szCs w:val="24"/>
        </w:rPr>
        <w:t xml:space="preserve"> sur</w:t>
      </w:r>
      <w:r w:rsidR="00C201A6" w:rsidRPr="005908E9">
        <w:rPr>
          <w:rFonts w:asciiTheme="majorHAnsi" w:hAnsiTheme="majorHAnsi" w:cstheme="majorHAnsi"/>
          <w:sz w:val="24"/>
          <w:szCs w:val="24"/>
        </w:rPr>
        <w:t xml:space="preserve"> </w:t>
      </w:r>
      <w:r w:rsidR="00C201A6">
        <w:rPr>
          <w:rFonts w:asciiTheme="majorHAnsi" w:hAnsiTheme="majorHAnsi" w:cstheme="majorHAnsi"/>
          <w:sz w:val="24"/>
          <w:szCs w:val="24"/>
        </w:rPr>
        <w:t xml:space="preserve">la question </w:t>
      </w:r>
      <w:r w:rsidR="00545F87">
        <w:rPr>
          <w:rFonts w:asciiTheme="majorHAnsi" w:hAnsiTheme="majorHAnsi" w:cstheme="majorHAnsi"/>
          <w:sz w:val="24"/>
          <w:szCs w:val="24"/>
        </w:rPr>
        <w:t>«</w:t>
      </w:r>
      <w:r>
        <w:rPr>
          <w:rFonts w:asciiTheme="majorHAnsi" w:hAnsiTheme="majorHAnsi" w:cstheme="majorHAnsi"/>
          <w:sz w:val="24"/>
          <w:szCs w:val="24"/>
        </w:rPr>
        <w:t> Comment les universités peuvent-elles s’approprier</w:t>
      </w:r>
      <w:r w:rsidR="00545F87">
        <w:rPr>
          <w:rFonts w:asciiTheme="majorHAnsi" w:hAnsiTheme="majorHAnsi" w:cstheme="majorHAnsi"/>
          <w:sz w:val="24"/>
          <w:szCs w:val="24"/>
        </w:rPr>
        <w:t xml:space="preserve"> ces nouveaux domaines</w:t>
      </w:r>
      <w:r w:rsidR="00C201A6">
        <w:rPr>
          <w:rFonts w:asciiTheme="majorHAnsi" w:hAnsiTheme="majorHAnsi" w:cstheme="majorHAnsi"/>
          <w:sz w:val="24"/>
          <w:szCs w:val="24"/>
        </w:rPr>
        <w:t> ?</w:t>
      </w:r>
      <w:r w:rsidR="00545F87">
        <w:rPr>
          <w:rFonts w:asciiTheme="majorHAnsi" w:hAnsiTheme="majorHAnsi" w:cstheme="majorHAnsi"/>
          <w:sz w:val="24"/>
          <w:szCs w:val="24"/>
        </w:rPr>
        <w:t xml:space="preserve"> ».</w:t>
      </w:r>
    </w:p>
    <w:p w14:paraId="2661ACCA" w14:textId="3866D3DE" w:rsidR="00922D2C" w:rsidRDefault="00545F87" w:rsidP="00922D2C">
      <w:pPr>
        <w:pStyle w:val="Corpsdetexte"/>
        <w:jc w:val="both"/>
        <w:rPr>
          <w:rFonts w:asciiTheme="majorHAnsi" w:eastAsia="Times New Roman" w:hAnsiTheme="majorHAnsi" w:cstheme="majorHAnsi"/>
          <w:kern w:val="0"/>
          <w:lang w:eastAsia="fr-FR" w:bidi="ar-SA"/>
        </w:rPr>
      </w:pPr>
      <w:r>
        <w:rPr>
          <w:rFonts w:asciiTheme="majorHAnsi" w:eastAsia="Times New Roman" w:hAnsiTheme="majorHAnsi" w:cstheme="majorHAnsi"/>
          <w:kern w:val="0"/>
          <w:lang w:eastAsia="fr-FR" w:bidi="ar-SA"/>
        </w:rPr>
        <w:t xml:space="preserve">Ensuite, </w:t>
      </w:r>
      <w:r w:rsidR="00922D2C" w:rsidRPr="00922D2C">
        <w:rPr>
          <w:rFonts w:asciiTheme="majorHAnsi" w:eastAsia="Times New Roman" w:hAnsiTheme="majorHAnsi" w:cstheme="majorHAnsi"/>
          <w:kern w:val="0"/>
          <w:lang w:eastAsia="fr-FR" w:bidi="ar-SA"/>
        </w:rPr>
        <w:t xml:space="preserve">les membres de la CONFREMO ont tenu leur Assemblée générale à huis clos et ont échangé autour des principaux enjeux et défis de la gouvernance universitaire dans la région. </w:t>
      </w:r>
      <w:r w:rsidR="007B4E52" w:rsidRPr="005908E9">
        <w:rPr>
          <w:rFonts w:asciiTheme="majorHAnsi" w:eastAsia="Times New Roman" w:hAnsiTheme="majorHAnsi" w:cstheme="majorHAnsi"/>
          <w:kern w:val="0"/>
          <w:lang w:eastAsia="fr-FR" w:bidi="ar-SA"/>
        </w:rPr>
        <w:t xml:space="preserve">Ils ont adopté les nouveaux statuts de la conférence qui leur étaient proposés et </w:t>
      </w:r>
      <w:r w:rsidR="00922D2C" w:rsidRPr="005908E9">
        <w:rPr>
          <w:rFonts w:asciiTheme="majorHAnsi" w:eastAsia="Times New Roman" w:hAnsiTheme="majorHAnsi" w:cstheme="majorHAnsi"/>
          <w:kern w:val="0"/>
          <w:lang w:eastAsia="fr-FR" w:bidi="ar-SA"/>
        </w:rPr>
        <w:t xml:space="preserve">ont </w:t>
      </w:r>
      <w:r w:rsidR="00922D2C" w:rsidRPr="00922D2C">
        <w:rPr>
          <w:rFonts w:asciiTheme="majorHAnsi" w:eastAsia="Times New Roman" w:hAnsiTheme="majorHAnsi" w:cstheme="majorHAnsi"/>
          <w:kern w:val="0"/>
          <w:lang w:eastAsia="fr-FR" w:bidi="ar-SA"/>
        </w:rPr>
        <w:t>également procédé à l'élection de leur nouv</w:t>
      </w:r>
      <w:r>
        <w:rPr>
          <w:rFonts w:asciiTheme="majorHAnsi" w:eastAsia="Times New Roman" w:hAnsiTheme="majorHAnsi" w:cstheme="majorHAnsi"/>
          <w:kern w:val="0"/>
          <w:lang w:eastAsia="fr-FR" w:bidi="ar-SA"/>
        </w:rPr>
        <w:t>eau</w:t>
      </w:r>
      <w:r w:rsidR="00922D2C" w:rsidRPr="00922D2C">
        <w:rPr>
          <w:rFonts w:asciiTheme="majorHAnsi" w:eastAsia="Times New Roman" w:hAnsiTheme="majorHAnsi" w:cstheme="majorHAnsi"/>
          <w:kern w:val="0"/>
          <w:lang w:eastAsia="fr-FR" w:bidi="ar-SA"/>
        </w:rPr>
        <w:t xml:space="preserve"> président</w:t>
      </w:r>
      <w:r w:rsidR="00C201A6">
        <w:rPr>
          <w:rFonts w:asciiTheme="majorHAnsi" w:eastAsia="Times New Roman" w:hAnsiTheme="majorHAnsi" w:cstheme="majorHAnsi"/>
          <w:kern w:val="0"/>
          <w:lang w:eastAsia="fr-FR" w:bidi="ar-SA"/>
        </w:rPr>
        <w:t xml:space="preserve"> </w:t>
      </w:r>
      <w:r w:rsidR="009604A3">
        <w:rPr>
          <w:rFonts w:asciiTheme="majorHAnsi" w:eastAsia="Times New Roman" w:hAnsiTheme="majorHAnsi" w:cstheme="majorHAnsi"/>
          <w:kern w:val="0"/>
          <w:lang w:eastAsia="fr-FR" w:bidi="ar-SA"/>
        </w:rPr>
        <w:t>M. Issam El Kordy</w:t>
      </w:r>
      <w:r w:rsidR="00922D2C" w:rsidRPr="00922D2C">
        <w:rPr>
          <w:rFonts w:asciiTheme="majorHAnsi" w:eastAsia="Times New Roman" w:hAnsiTheme="majorHAnsi" w:cstheme="majorHAnsi"/>
          <w:kern w:val="0"/>
          <w:lang w:eastAsia="fr-FR" w:bidi="ar-SA"/>
        </w:rPr>
        <w:t xml:space="preserve"> président de l'Université </w:t>
      </w:r>
      <w:r w:rsidR="009604A3">
        <w:rPr>
          <w:rFonts w:asciiTheme="majorHAnsi" w:eastAsia="Times New Roman" w:hAnsiTheme="majorHAnsi" w:cstheme="majorHAnsi"/>
          <w:kern w:val="0"/>
          <w:lang w:eastAsia="fr-FR" w:bidi="ar-SA"/>
        </w:rPr>
        <w:t>d’Alexandrie</w:t>
      </w:r>
      <w:r w:rsidR="00922D2C" w:rsidRPr="00922D2C">
        <w:rPr>
          <w:rFonts w:asciiTheme="majorHAnsi" w:eastAsia="Times New Roman" w:hAnsiTheme="majorHAnsi" w:cstheme="majorHAnsi"/>
          <w:kern w:val="0"/>
          <w:lang w:eastAsia="fr-FR" w:bidi="ar-SA"/>
        </w:rPr>
        <w:t xml:space="preserve"> qui succède </w:t>
      </w:r>
      <w:r w:rsidR="007B4E52" w:rsidRPr="005908E9">
        <w:rPr>
          <w:rFonts w:asciiTheme="majorHAnsi" w:eastAsia="Times New Roman" w:hAnsiTheme="majorHAnsi" w:cstheme="majorHAnsi"/>
          <w:kern w:val="0"/>
          <w:lang w:eastAsia="fr-FR" w:bidi="ar-SA"/>
        </w:rPr>
        <w:t>ainsi</w:t>
      </w:r>
      <w:r w:rsidR="007B4E52" w:rsidRPr="007B4E52">
        <w:rPr>
          <w:rFonts w:asciiTheme="majorHAnsi" w:eastAsia="Times New Roman" w:hAnsiTheme="majorHAnsi" w:cstheme="majorHAnsi"/>
          <w:color w:val="FF0000"/>
          <w:kern w:val="0"/>
          <w:lang w:eastAsia="fr-FR" w:bidi="ar-SA"/>
        </w:rPr>
        <w:t xml:space="preserve"> </w:t>
      </w:r>
      <w:r w:rsidR="00922D2C" w:rsidRPr="00922D2C">
        <w:rPr>
          <w:rFonts w:asciiTheme="majorHAnsi" w:eastAsia="Times New Roman" w:hAnsiTheme="majorHAnsi" w:cstheme="majorHAnsi"/>
          <w:kern w:val="0"/>
          <w:lang w:eastAsia="fr-FR" w:bidi="ar-SA"/>
        </w:rPr>
        <w:t xml:space="preserve">à </w:t>
      </w:r>
      <w:r w:rsidRPr="00922D2C">
        <w:rPr>
          <w:rFonts w:asciiTheme="majorHAnsi" w:eastAsia="Times New Roman" w:hAnsiTheme="majorHAnsi" w:cstheme="majorHAnsi"/>
          <w:kern w:val="0"/>
          <w:lang w:eastAsia="fr-FR" w:bidi="ar-SA"/>
        </w:rPr>
        <w:t>Mme Dina El Maoula,</w:t>
      </w:r>
      <w:r>
        <w:rPr>
          <w:rFonts w:asciiTheme="majorHAnsi" w:eastAsia="Times New Roman" w:hAnsiTheme="majorHAnsi" w:cstheme="majorHAnsi"/>
          <w:kern w:val="0"/>
          <w:lang w:eastAsia="fr-FR" w:bidi="ar-SA"/>
        </w:rPr>
        <w:t xml:space="preserve"> présidente de l’Université Islamique du Liban</w:t>
      </w:r>
      <w:r w:rsidRPr="005908E9">
        <w:rPr>
          <w:rFonts w:asciiTheme="majorHAnsi" w:eastAsia="Times New Roman" w:hAnsiTheme="majorHAnsi" w:cstheme="majorHAnsi"/>
          <w:kern w:val="0"/>
          <w:lang w:eastAsia="fr-FR" w:bidi="ar-SA"/>
        </w:rPr>
        <w:t>.</w:t>
      </w:r>
      <w:r w:rsidR="007B4E52" w:rsidRPr="005908E9">
        <w:rPr>
          <w:rFonts w:asciiTheme="majorHAnsi" w:eastAsia="Times New Roman" w:hAnsiTheme="majorHAnsi" w:cstheme="majorHAnsi"/>
          <w:kern w:val="0"/>
          <w:lang w:eastAsia="fr-FR" w:bidi="ar-SA"/>
        </w:rPr>
        <w:t xml:space="preserve"> Ils ont enfin procédé à la nomination du nouveau bureau de la </w:t>
      </w:r>
      <w:r w:rsidR="001F073D" w:rsidRPr="005908E9">
        <w:rPr>
          <w:rFonts w:asciiTheme="majorHAnsi" w:eastAsia="Times New Roman" w:hAnsiTheme="majorHAnsi" w:cstheme="majorHAnsi"/>
          <w:kern w:val="0"/>
          <w:lang w:eastAsia="fr-FR" w:bidi="ar-SA"/>
        </w:rPr>
        <w:t>CONFREMO</w:t>
      </w:r>
      <w:r w:rsidR="007B4E52" w:rsidRPr="005908E9">
        <w:rPr>
          <w:rFonts w:asciiTheme="majorHAnsi" w:eastAsia="Times New Roman" w:hAnsiTheme="majorHAnsi" w:cstheme="majorHAnsi"/>
          <w:kern w:val="0"/>
          <w:lang w:eastAsia="fr-FR" w:bidi="ar-SA"/>
        </w:rPr>
        <w:t xml:space="preserve"> qui, selon les nouveaux statuts, est maintenant composé de 6 membres :</w:t>
      </w:r>
    </w:p>
    <w:p w14:paraId="5BDABF1E" w14:textId="77777777" w:rsidR="009A123D" w:rsidRPr="005908E9" w:rsidRDefault="009A123D" w:rsidP="00922D2C">
      <w:pPr>
        <w:pStyle w:val="Corpsdetexte"/>
        <w:jc w:val="both"/>
        <w:rPr>
          <w:rFonts w:asciiTheme="majorHAnsi" w:eastAsia="Times New Roman" w:hAnsiTheme="majorHAnsi" w:cstheme="majorHAnsi"/>
          <w:kern w:val="0"/>
          <w:lang w:eastAsia="fr-FR" w:bidi="ar-SA"/>
        </w:rPr>
      </w:pPr>
    </w:p>
    <w:p w14:paraId="720B96A1" w14:textId="60F07DC0" w:rsidR="00922D2C" w:rsidRPr="005908E9" w:rsidRDefault="00545F87" w:rsidP="00922D2C">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bookmarkStart w:id="0" w:name="result_box"/>
      <w:bookmarkEnd w:id="0"/>
      <w:r w:rsidRPr="005908E9">
        <w:rPr>
          <w:rFonts w:asciiTheme="majorHAnsi" w:eastAsia="Times New Roman" w:hAnsiTheme="majorHAnsi" w:cstheme="majorHAnsi"/>
          <w:sz w:val="24"/>
          <w:szCs w:val="24"/>
          <w:lang w:eastAsia="fr-FR"/>
        </w:rPr>
        <w:t>M</w:t>
      </w:r>
      <w:r w:rsidR="009604A3">
        <w:rPr>
          <w:rFonts w:asciiTheme="majorHAnsi" w:eastAsia="Times New Roman" w:hAnsiTheme="majorHAnsi" w:cstheme="majorHAnsi"/>
          <w:sz w:val="24"/>
          <w:szCs w:val="24"/>
          <w:lang w:eastAsia="fr-FR"/>
        </w:rPr>
        <w:t>.</w:t>
      </w:r>
      <w:r w:rsidR="009604A3" w:rsidRPr="009604A3">
        <w:rPr>
          <w:rFonts w:asciiTheme="majorHAnsi" w:eastAsia="Times New Roman" w:hAnsiTheme="majorHAnsi" w:cstheme="majorHAnsi"/>
          <w:lang w:eastAsia="fr-FR"/>
        </w:rPr>
        <w:t xml:space="preserve"> </w:t>
      </w:r>
      <w:r w:rsidR="009604A3">
        <w:rPr>
          <w:rFonts w:asciiTheme="majorHAnsi" w:eastAsia="Times New Roman" w:hAnsiTheme="majorHAnsi" w:cstheme="majorHAnsi"/>
          <w:lang w:eastAsia="fr-FR"/>
        </w:rPr>
        <w:t>Issam El Kordy</w:t>
      </w:r>
      <w:r w:rsidR="00922D2C" w:rsidRPr="005908E9">
        <w:rPr>
          <w:rFonts w:asciiTheme="majorHAnsi" w:eastAsia="Times New Roman" w:hAnsiTheme="majorHAnsi" w:cstheme="majorHAnsi"/>
          <w:sz w:val="24"/>
          <w:szCs w:val="24"/>
          <w:lang w:eastAsia="fr-FR"/>
        </w:rPr>
        <w:t>, président</w:t>
      </w:r>
      <w:r w:rsidR="007B4E52" w:rsidRPr="005908E9">
        <w:rPr>
          <w:rFonts w:asciiTheme="majorHAnsi" w:eastAsia="Times New Roman" w:hAnsiTheme="majorHAnsi" w:cstheme="majorHAnsi"/>
          <w:sz w:val="24"/>
          <w:szCs w:val="24"/>
          <w:lang w:eastAsia="fr-FR"/>
        </w:rPr>
        <w:t xml:space="preserve">, </w:t>
      </w:r>
      <w:r w:rsidR="00922D2C" w:rsidRPr="005908E9">
        <w:rPr>
          <w:rFonts w:asciiTheme="majorHAnsi" w:eastAsia="Times New Roman" w:hAnsiTheme="majorHAnsi" w:cstheme="majorHAnsi"/>
          <w:sz w:val="24"/>
          <w:szCs w:val="24"/>
          <w:lang w:eastAsia="fr-FR"/>
        </w:rPr>
        <w:t xml:space="preserve"> </w:t>
      </w:r>
    </w:p>
    <w:p w14:paraId="419E8524" w14:textId="67FF4596" w:rsidR="00922D2C" w:rsidRPr="005908E9" w:rsidRDefault="00922D2C" w:rsidP="00922D2C">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r w:rsidRPr="005908E9">
        <w:rPr>
          <w:rFonts w:asciiTheme="majorHAnsi" w:eastAsia="Times New Roman" w:hAnsiTheme="majorHAnsi" w:cstheme="majorHAnsi"/>
          <w:sz w:val="24"/>
          <w:szCs w:val="24"/>
          <w:lang w:eastAsia="fr-FR"/>
        </w:rPr>
        <w:t xml:space="preserve">M. </w:t>
      </w:r>
      <w:r w:rsidR="009604A3">
        <w:rPr>
          <w:rFonts w:asciiTheme="majorHAnsi" w:eastAsia="Times New Roman" w:hAnsiTheme="majorHAnsi" w:cstheme="majorHAnsi"/>
          <w:sz w:val="24"/>
          <w:szCs w:val="24"/>
          <w:lang w:eastAsia="fr-FR"/>
        </w:rPr>
        <w:t>Nidaa Abou Mrad de l’Université Antonine au Liban,</w:t>
      </w:r>
      <w:r w:rsidRPr="005908E9">
        <w:rPr>
          <w:rFonts w:asciiTheme="majorHAnsi" w:eastAsia="Times New Roman" w:hAnsiTheme="majorHAnsi" w:cstheme="majorHAnsi"/>
          <w:sz w:val="24"/>
          <w:szCs w:val="24"/>
          <w:lang w:eastAsia="fr-FR"/>
        </w:rPr>
        <w:t xml:space="preserve"> vice-président</w:t>
      </w:r>
      <w:r w:rsidR="007B4E52" w:rsidRPr="005908E9">
        <w:rPr>
          <w:rFonts w:asciiTheme="majorHAnsi" w:eastAsia="Times New Roman" w:hAnsiTheme="majorHAnsi" w:cstheme="majorHAnsi"/>
          <w:sz w:val="24"/>
          <w:szCs w:val="24"/>
          <w:lang w:eastAsia="fr-FR"/>
        </w:rPr>
        <w:t xml:space="preserve">, </w:t>
      </w:r>
    </w:p>
    <w:p w14:paraId="79668A38" w14:textId="0608F1E1" w:rsidR="00922D2C" w:rsidRPr="005908E9" w:rsidRDefault="00922D2C" w:rsidP="00922D2C">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r w:rsidRPr="005908E9">
        <w:rPr>
          <w:rFonts w:asciiTheme="majorHAnsi" w:eastAsia="Times New Roman" w:hAnsiTheme="majorHAnsi" w:cstheme="majorHAnsi"/>
          <w:sz w:val="24"/>
          <w:szCs w:val="24"/>
          <w:lang w:eastAsia="fr-FR"/>
        </w:rPr>
        <w:t xml:space="preserve">M. </w:t>
      </w:r>
      <w:r w:rsidR="009604A3">
        <w:rPr>
          <w:rFonts w:asciiTheme="majorHAnsi" w:eastAsia="Times New Roman" w:hAnsiTheme="majorHAnsi" w:cstheme="majorHAnsi"/>
          <w:sz w:val="24"/>
          <w:szCs w:val="24"/>
          <w:lang w:eastAsia="fr-FR"/>
        </w:rPr>
        <w:t>Thierry Verdel, président de l’Université Senghor,</w:t>
      </w:r>
      <w:r w:rsidR="007B4E52" w:rsidRPr="005908E9">
        <w:rPr>
          <w:rFonts w:asciiTheme="majorHAnsi" w:eastAsia="Times New Roman" w:hAnsiTheme="majorHAnsi" w:cstheme="majorHAnsi"/>
          <w:sz w:val="24"/>
          <w:szCs w:val="24"/>
          <w:lang w:eastAsia="fr-FR"/>
        </w:rPr>
        <w:t xml:space="preserve"> </w:t>
      </w:r>
      <w:bookmarkStart w:id="1" w:name="_Hlk25075790"/>
      <w:r w:rsidR="009604A3">
        <w:rPr>
          <w:rFonts w:asciiTheme="majorHAnsi" w:eastAsia="Times New Roman" w:hAnsiTheme="majorHAnsi" w:cstheme="majorHAnsi"/>
          <w:sz w:val="24"/>
          <w:szCs w:val="24"/>
          <w:lang w:eastAsia="fr-FR"/>
        </w:rPr>
        <w:t>r</w:t>
      </w:r>
      <w:r w:rsidR="007B4E52" w:rsidRPr="005908E9">
        <w:rPr>
          <w:rFonts w:asciiTheme="majorHAnsi" w:eastAsia="Times New Roman" w:hAnsiTheme="majorHAnsi" w:cstheme="majorHAnsi"/>
          <w:sz w:val="24"/>
          <w:szCs w:val="24"/>
          <w:lang w:eastAsia="fr-FR"/>
        </w:rPr>
        <w:t>esponsable de la commission « gouvernance du numérique »</w:t>
      </w:r>
      <w:r w:rsidR="009A123D">
        <w:rPr>
          <w:rFonts w:asciiTheme="majorHAnsi" w:eastAsia="Times New Roman" w:hAnsiTheme="majorHAnsi" w:cstheme="majorHAnsi"/>
          <w:sz w:val="24"/>
          <w:szCs w:val="24"/>
          <w:lang w:eastAsia="fr-FR"/>
        </w:rPr>
        <w:t>,</w:t>
      </w:r>
    </w:p>
    <w:bookmarkEnd w:id="1"/>
    <w:p w14:paraId="231B0A32" w14:textId="20340375" w:rsidR="007B4E52" w:rsidRPr="005908E9" w:rsidRDefault="00922D2C" w:rsidP="007B4E52">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r w:rsidRPr="005908E9">
        <w:rPr>
          <w:rFonts w:asciiTheme="majorHAnsi" w:eastAsia="Times New Roman" w:hAnsiTheme="majorHAnsi" w:cstheme="majorHAnsi"/>
          <w:sz w:val="24"/>
          <w:szCs w:val="24"/>
          <w:lang w:eastAsia="fr-FR"/>
        </w:rPr>
        <w:t>M.</w:t>
      </w:r>
      <w:r w:rsidR="00A1041C" w:rsidRPr="005908E9">
        <w:rPr>
          <w:rFonts w:asciiTheme="majorHAnsi" w:eastAsia="Times New Roman" w:hAnsiTheme="majorHAnsi" w:cstheme="majorHAnsi"/>
          <w:sz w:val="24"/>
          <w:szCs w:val="24"/>
          <w:lang w:eastAsia="fr-FR"/>
        </w:rPr>
        <w:t xml:space="preserve"> </w:t>
      </w:r>
      <w:r w:rsidR="009604A3">
        <w:rPr>
          <w:rFonts w:asciiTheme="majorHAnsi" w:eastAsia="Times New Roman" w:hAnsiTheme="majorHAnsi" w:cstheme="majorHAnsi"/>
          <w:sz w:val="24"/>
          <w:szCs w:val="24"/>
          <w:lang w:eastAsia="fr-FR"/>
        </w:rPr>
        <w:t>Behrouz Gatmiri de l’Université de Téhéran, r</w:t>
      </w:r>
      <w:r w:rsidR="007B4E52" w:rsidRPr="005908E9">
        <w:rPr>
          <w:rFonts w:asciiTheme="majorHAnsi" w:eastAsia="Times New Roman" w:hAnsiTheme="majorHAnsi" w:cstheme="majorHAnsi"/>
          <w:sz w:val="24"/>
          <w:szCs w:val="24"/>
          <w:lang w:eastAsia="fr-FR"/>
        </w:rPr>
        <w:t>esponsable de la commission « gouvernance de la recherche »</w:t>
      </w:r>
      <w:r w:rsidR="009A123D">
        <w:rPr>
          <w:rFonts w:asciiTheme="majorHAnsi" w:eastAsia="Times New Roman" w:hAnsiTheme="majorHAnsi" w:cstheme="majorHAnsi"/>
          <w:sz w:val="24"/>
          <w:szCs w:val="24"/>
          <w:lang w:eastAsia="fr-FR"/>
        </w:rPr>
        <w:t>,</w:t>
      </w:r>
    </w:p>
    <w:p w14:paraId="6DD185DF" w14:textId="06755442" w:rsidR="00922D2C" w:rsidRPr="005908E9" w:rsidRDefault="007B4E52" w:rsidP="007B4E52">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r w:rsidRPr="005908E9">
        <w:rPr>
          <w:rFonts w:asciiTheme="majorHAnsi" w:eastAsia="Times New Roman" w:hAnsiTheme="majorHAnsi" w:cstheme="majorHAnsi"/>
          <w:sz w:val="24"/>
          <w:szCs w:val="24"/>
          <w:lang w:eastAsia="fr-FR"/>
        </w:rPr>
        <w:t>M</w:t>
      </w:r>
      <w:r w:rsidR="009604A3">
        <w:rPr>
          <w:rFonts w:asciiTheme="majorHAnsi" w:eastAsia="Times New Roman" w:hAnsiTheme="majorHAnsi" w:cstheme="majorHAnsi"/>
          <w:sz w:val="24"/>
          <w:szCs w:val="24"/>
          <w:lang w:eastAsia="fr-FR"/>
        </w:rPr>
        <w:t>me Zeinab Saad de l’Université Libanaise,</w:t>
      </w:r>
      <w:r w:rsidRPr="005908E9">
        <w:rPr>
          <w:rFonts w:asciiTheme="majorHAnsi" w:eastAsia="Times New Roman" w:hAnsiTheme="majorHAnsi" w:cstheme="majorHAnsi"/>
          <w:sz w:val="24"/>
          <w:szCs w:val="24"/>
          <w:lang w:eastAsia="fr-FR"/>
        </w:rPr>
        <w:t xml:space="preserve"> </w:t>
      </w:r>
      <w:r w:rsidR="009604A3">
        <w:rPr>
          <w:rFonts w:asciiTheme="majorHAnsi" w:eastAsia="Times New Roman" w:hAnsiTheme="majorHAnsi" w:cstheme="majorHAnsi"/>
          <w:sz w:val="24"/>
          <w:szCs w:val="24"/>
          <w:lang w:eastAsia="fr-FR"/>
        </w:rPr>
        <w:t>r</w:t>
      </w:r>
      <w:r w:rsidRPr="005908E9">
        <w:rPr>
          <w:rFonts w:asciiTheme="majorHAnsi" w:eastAsia="Times New Roman" w:hAnsiTheme="majorHAnsi" w:cstheme="majorHAnsi"/>
          <w:sz w:val="24"/>
          <w:szCs w:val="24"/>
          <w:lang w:eastAsia="fr-FR"/>
        </w:rPr>
        <w:t>esponsable de la commission « Internationalisation »</w:t>
      </w:r>
      <w:r w:rsidR="009A123D">
        <w:rPr>
          <w:rFonts w:asciiTheme="majorHAnsi" w:eastAsia="Times New Roman" w:hAnsiTheme="majorHAnsi" w:cstheme="majorHAnsi"/>
          <w:sz w:val="24"/>
          <w:szCs w:val="24"/>
          <w:lang w:eastAsia="fr-FR"/>
        </w:rPr>
        <w:t>,</w:t>
      </w:r>
    </w:p>
    <w:p w14:paraId="4FE412D4" w14:textId="2EB1D68F" w:rsidR="007B4E52" w:rsidRDefault="009A123D" w:rsidP="007B4E52">
      <w:pPr>
        <w:widowControl w:val="0"/>
        <w:numPr>
          <w:ilvl w:val="0"/>
          <w:numId w:val="1"/>
        </w:numPr>
        <w:suppressAutoHyphens/>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lastRenderedPageBreak/>
        <w:t>Mme Nihale Mostafa, de l’Université Arabe de Beyrouth</w:t>
      </w:r>
      <w:r w:rsidR="009604A3">
        <w:rPr>
          <w:rFonts w:asciiTheme="majorHAnsi" w:eastAsia="Times New Roman" w:hAnsiTheme="majorHAnsi" w:cstheme="majorHAnsi"/>
          <w:sz w:val="24"/>
          <w:szCs w:val="24"/>
          <w:lang w:eastAsia="fr-FR"/>
        </w:rPr>
        <w:t>,</w:t>
      </w:r>
      <w:r w:rsidR="007B4E52" w:rsidRPr="005908E9">
        <w:rPr>
          <w:rFonts w:asciiTheme="majorHAnsi" w:eastAsia="Times New Roman" w:hAnsiTheme="majorHAnsi" w:cstheme="majorHAnsi"/>
          <w:sz w:val="24"/>
          <w:szCs w:val="24"/>
          <w:lang w:eastAsia="fr-FR"/>
        </w:rPr>
        <w:t xml:space="preserve"> </w:t>
      </w:r>
      <w:r w:rsidR="009604A3">
        <w:rPr>
          <w:rFonts w:asciiTheme="majorHAnsi" w:eastAsia="Times New Roman" w:hAnsiTheme="majorHAnsi" w:cstheme="majorHAnsi"/>
          <w:sz w:val="24"/>
          <w:szCs w:val="24"/>
          <w:lang w:eastAsia="fr-FR"/>
        </w:rPr>
        <w:t>r</w:t>
      </w:r>
      <w:r w:rsidR="007B4E52" w:rsidRPr="005908E9">
        <w:rPr>
          <w:rFonts w:asciiTheme="majorHAnsi" w:eastAsia="Times New Roman" w:hAnsiTheme="majorHAnsi" w:cstheme="majorHAnsi"/>
          <w:sz w:val="24"/>
          <w:szCs w:val="24"/>
          <w:lang w:eastAsia="fr-FR"/>
        </w:rPr>
        <w:t>esponsable de la commission « assurance-Qualité et Accréditation »</w:t>
      </w:r>
      <w:r>
        <w:rPr>
          <w:rFonts w:asciiTheme="majorHAnsi" w:eastAsia="Times New Roman" w:hAnsiTheme="majorHAnsi" w:cstheme="majorHAnsi"/>
          <w:sz w:val="24"/>
          <w:szCs w:val="24"/>
          <w:lang w:eastAsia="fr-FR"/>
        </w:rPr>
        <w:t>.</w:t>
      </w:r>
    </w:p>
    <w:p w14:paraId="0D4A7B78" w14:textId="3EABF8F9" w:rsidR="009604A3" w:rsidRPr="005908E9" w:rsidRDefault="009604A3" w:rsidP="009A123D">
      <w:pPr>
        <w:widowControl w:val="0"/>
        <w:suppressAutoHyphens/>
        <w:spacing w:after="0" w:line="240" w:lineRule="auto"/>
        <w:ind w:left="720"/>
        <w:jc w:val="both"/>
        <w:rPr>
          <w:rFonts w:asciiTheme="majorHAnsi" w:eastAsia="Times New Roman" w:hAnsiTheme="majorHAnsi" w:cstheme="majorHAnsi"/>
          <w:sz w:val="24"/>
          <w:szCs w:val="24"/>
          <w:lang w:eastAsia="fr-FR"/>
        </w:rPr>
      </w:pPr>
    </w:p>
    <w:p w14:paraId="1A099BD9" w14:textId="7BB325C7" w:rsidR="00922D2C" w:rsidRPr="005908E9" w:rsidRDefault="00922D2C" w:rsidP="007B4E52">
      <w:pPr>
        <w:widowControl w:val="0"/>
        <w:suppressAutoHyphens/>
        <w:spacing w:after="0" w:line="240" w:lineRule="auto"/>
        <w:ind w:left="360"/>
        <w:jc w:val="both"/>
        <w:rPr>
          <w:rFonts w:asciiTheme="majorHAnsi" w:eastAsia="Times New Roman" w:hAnsiTheme="majorHAnsi" w:cstheme="majorHAnsi"/>
          <w:sz w:val="24"/>
          <w:szCs w:val="24"/>
          <w:lang w:eastAsia="fr-FR"/>
        </w:rPr>
      </w:pPr>
    </w:p>
    <w:p w14:paraId="0A3581E6" w14:textId="6C14E9A7" w:rsidR="009D2A66" w:rsidRDefault="009D2A66" w:rsidP="009D2A66">
      <w:p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D’autre part, dans</w:t>
      </w:r>
      <w:r>
        <w:rPr>
          <w:rFonts w:asciiTheme="majorHAnsi" w:hAnsiTheme="majorHAnsi" w:cstheme="majorHAnsi"/>
          <w:color w:val="FF0000"/>
          <w:sz w:val="24"/>
          <w:szCs w:val="24"/>
        </w:rPr>
        <w:t xml:space="preserve"> </w:t>
      </w:r>
      <w:r>
        <w:rPr>
          <w:rFonts w:asciiTheme="majorHAnsi" w:hAnsiTheme="majorHAnsi" w:cstheme="majorHAnsi"/>
          <w:sz w:val="24"/>
          <w:szCs w:val="24"/>
        </w:rPr>
        <w:t xml:space="preserve">la poursuite des projets et activités initiés par la Conférence des Recteurs de la Région du Moyen-Orient (CONFREMO), </w:t>
      </w:r>
      <w:r w:rsidR="00C201A6">
        <w:rPr>
          <w:rFonts w:asciiTheme="majorHAnsi" w:hAnsiTheme="majorHAnsi" w:cstheme="majorHAnsi"/>
          <w:sz w:val="24"/>
          <w:szCs w:val="24"/>
        </w:rPr>
        <w:t xml:space="preserve">et </w:t>
      </w:r>
      <w:r>
        <w:rPr>
          <w:rFonts w:asciiTheme="majorHAnsi" w:hAnsiTheme="majorHAnsi" w:cstheme="majorHAnsi"/>
          <w:sz w:val="24"/>
          <w:szCs w:val="24"/>
        </w:rPr>
        <w:t>avec l’appui de l’Agence universitaire de la Francophonie, la CONFREMO a organisé le 2 décembre 2019 une journée scientifique sur le thème « </w:t>
      </w:r>
      <w:r w:rsidRPr="00545F87">
        <w:rPr>
          <w:rStyle w:val="lev"/>
          <w:b w:val="0"/>
          <w:bCs w:val="0"/>
        </w:rPr>
        <w:t>Quelle stratégie du numérique pour les universités ?</w:t>
      </w:r>
      <w:r>
        <w:rPr>
          <w:rFonts w:asciiTheme="majorHAnsi" w:hAnsiTheme="majorHAnsi" w:cstheme="majorHAnsi"/>
          <w:sz w:val="24"/>
          <w:szCs w:val="24"/>
        </w:rPr>
        <w:t xml:space="preserve"> ». </w:t>
      </w:r>
    </w:p>
    <w:p w14:paraId="41C51AD6" w14:textId="08359F0A" w:rsidR="009D2A66" w:rsidRDefault="009D2A66" w:rsidP="009D2A66">
      <w:p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 xml:space="preserve">Cette journée scientifique a été animée par des experts venant </w:t>
      </w:r>
      <w:r w:rsidR="00545F87">
        <w:rPr>
          <w:rFonts w:asciiTheme="majorHAnsi" w:hAnsiTheme="majorHAnsi" w:cstheme="majorHAnsi"/>
          <w:sz w:val="24"/>
          <w:szCs w:val="24"/>
        </w:rPr>
        <w:t>de Chypre</w:t>
      </w:r>
      <w:r>
        <w:rPr>
          <w:rFonts w:asciiTheme="majorHAnsi" w:hAnsiTheme="majorHAnsi" w:cstheme="majorHAnsi"/>
          <w:sz w:val="24"/>
          <w:szCs w:val="24"/>
        </w:rPr>
        <w:t>,</w:t>
      </w:r>
      <w:r w:rsidR="00545F87">
        <w:rPr>
          <w:rFonts w:asciiTheme="majorHAnsi" w:hAnsiTheme="majorHAnsi" w:cstheme="majorHAnsi"/>
          <w:sz w:val="24"/>
          <w:szCs w:val="24"/>
        </w:rPr>
        <w:t xml:space="preserve"> </w:t>
      </w:r>
      <w:r w:rsidR="007B4E52" w:rsidRPr="005908E9">
        <w:rPr>
          <w:rFonts w:asciiTheme="majorHAnsi" w:hAnsiTheme="majorHAnsi" w:cstheme="majorHAnsi"/>
          <w:sz w:val="24"/>
          <w:szCs w:val="24"/>
        </w:rPr>
        <w:t>d’Irak</w:t>
      </w:r>
      <w:r w:rsidR="00545F87">
        <w:rPr>
          <w:rFonts w:asciiTheme="majorHAnsi" w:hAnsiTheme="majorHAnsi" w:cstheme="majorHAnsi"/>
          <w:sz w:val="24"/>
          <w:szCs w:val="24"/>
        </w:rPr>
        <w:t xml:space="preserve">, </w:t>
      </w:r>
      <w:r w:rsidR="007B4E52" w:rsidRPr="005908E9">
        <w:rPr>
          <w:rFonts w:asciiTheme="majorHAnsi" w:hAnsiTheme="majorHAnsi" w:cstheme="majorHAnsi"/>
          <w:sz w:val="24"/>
          <w:szCs w:val="24"/>
        </w:rPr>
        <w:t>de</w:t>
      </w:r>
      <w:r w:rsidR="007B4E52">
        <w:rPr>
          <w:rFonts w:asciiTheme="majorHAnsi" w:hAnsiTheme="majorHAnsi" w:cstheme="majorHAnsi"/>
          <w:sz w:val="24"/>
          <w:szCs w:val="24"/>
        </w:rPr>
        <w:t xml:space="preserve"> </w:t>
      </w:r>
      <w:r w:rsidR="00545F87">
        <w:rPr>
          <w:rFonts w:asciiTheme="majorHAnsi" w:hAnsiTheme="majorHAnsi" w:cstheme="majorHAnsi"/>
          <w:sz w:val="24"/>
          <w:szCs w:val="24"/>
        </w:rPr>
        <w:t>Jordanie,</w:t>
      </w:r>
      <w:r>
        <w:rPr>
          <w:rFonts w:asciiTheme="majorHAnsi" w:hAnsiTheme="majorHAnsi" w:cstheme="majorHAnsi"/>
          <w:sz w:val="24"/>
          <w:szCs w:val="24"/>
        </w:rPr>
        <w:t xml:space="preserve"> </w:t>
      </w:r>
      <w:r w:rsidR="007B4E52" w:rsidRPr="005908E9">
        <w:rPr>
          <w:rFonts w:asciiTheme="majorHAnsi" w:hAnsiTheme="majorHAnsi" w:cstheme="majorHAnsi"/>
          <w:sz w:val="24"/>
          <w:szCs w:val="24"/>
        </w:rPr>
        <w:t>de</w:t>
      </w:r>
      <w:r w:rsidR="007B4E52">
        <w:rPr>
          <w:rFonts w:asciiTheme="majorHAnsi" w:hAnsiTheme="majorHAnsi" w:cstheme="majorHAnsi"/>
          <w:sz w:val="24"/>
          <w:szCs w:val="24"/>
        </w:rPr>
        <w:t xml:space="preserve"> </w:t>
      </w:r>
      <w:r w:rsidR="00545F87">
        <w:rPr>
          <w:rFonts w:asciiTheme="majorHAnsi" w:hAnsiTheme="majorHAnsi" w:cstheme="majorHAnsi"/>
          <w:sz w:val="24"/>
          <w:szCs w:val="24"/>
        </w:rPr>
        <w:t>France</w:t>
      </w:r>
      <w:r>
        <w:rPr>
          <w:rFonts w:asciiTheme="majorHAnsi" w:hAnsiTheme="majorHAnsi" w:cstheme="majorHAnsi"/>
          <w:sz w:val="24"/>
          <w:szCs w:val="24"/>
        </w:rPr>
        <w:t xml:space="preserve">, </w:t>
      </w:r>
      <w:r w:rsidR="007B4E52" w:rsidRPr="005908E9">
        <w:rPr>
          <w:rFonts w:asciiTheme="majorHAnsi" w:hAnsiTheme="majorHAnsi" w:cstheme="majorHAnsi"/>
          <w:sz w:val="24"/>
          <w:szCs w:val="24"/>
        </w:rPr>
        <w:t>d’</w:t>
      </w:r>
      <w:r>
        <w:rPr>
          <w:rFonts w:asciiTheme="majorHAnsi" w:hAnsiTheme="majorHAnsi" w:cstheme="majorHAnsi"/>
          <w:sz w:val="24"/>
          <w:szCs w:val="24"/>
        </w:rPr>
        <w:t xml:space="preserve">Égypte et du Liban, </w:t>
      </w:r>
      <w:r w:rsidRPr="005908E9">
        <w:rPr>
          <w:rFonts w:asciiTheme="majorHAnsi" w:hAnsiTheme="majorHAnsi" w:cstheme="majorHAnsi"/>
          <w:sz w:val="24"/>
          <w:szCs w:val="24"/>
        </w:rPr>
        <w:t xml:space="preserve">et </w:t>
      </w:r>
      <w:r w:rsidR="007B4E52" w:rsidRPr="005908E9">
        <w:rPr>
          <w:rFonts w:asciiTheme="majorHAnsi" w:hAnsiTheme="majorHAnsi" w:cstheme="majorHAnsi"/>
          <w:sz w:val="24"/>
          <w:szCs w:val="24"/>
        </w:rPr>
        <w:t>a</w:t>
      </w:r>
      <w:r>
        <w:rPr>
          <w:rFonts w:asciiTheme="majorHAnsi" w:hAnsiTheme="majorHAnsi" w:cstheme="majorHAnsi"/>
          <w:sz w:val="24"/>
          <w:szCs w:val="24"/>
        </w:rPr>
        <w:t xml:space="preserve"> été l’occasion pour les participants, recteurs, présidents, et représentants d’institutions universitaires d’échanger sur </w:t>
      </w:r>
      <w:r w:rsidR="00545F87" w:rsidRPr="005908E9">
        <w:rPr>
          <w:rFonts w:asciiTheme="majorHAnsi" w:hAnsiTheme="majorHAnsi" w:cstheme="majorHAnsi"/>
          <w:sz w:val="24"/>
          <w:szCs w:val="24"/>
        </w:rPr>
        <w:t>l</w:t>
      </w:r>
      <w:r w:rsidR="0032165B" w:rsidRPr="005908E9">
        <w:rPr>
          <w:rFonts w:asciiTheme="majorHAnsi" w:hAnsiTheme="majorHAnsi" w:cstheme="majorHAnsi"/>
          <w:sz w:val="24"/>
          <w:szCs w:val="24"/>
        </w:rPr>
        <w:t>e rôle du</w:t>
      </w:r>
      <w:r w:rsidR="00545F87" w:rsidRPr="0032165B">
        <w:rPr>
          <w:rFonts w:asciiTheme="majorHAnsi" w:hAnsiTheme="majorHAnsi" w:cstheme="majorHAnsi"/>
          <w:color w:val="FF0000"/>
          <w:sz w:val="24"/>
          <w:szCs w:val="24"/>
        </w:rPr>
        <w:t xml:space="preserve"> </w:t>
      </w:r>
      <w:r w:rsidR="00545F87">
        <w:rPr>
          <w:rFonts w:asciiTheme="majorHAnsi" w:hAnsiTheme="majorHAnsi" w:cstheme="majorHAnsi"/>
          <w:sz w:val="24"/>
          <w:szCs w:val="24"/>
        </w:rPr>
        <w:t>numérique dans la stratégie d’un établissement.</w:t>
      </w:r>
    </w:p>
    <w:p w14:paraId="41A36C1E" w14:textId="1509EA1B" w:rsidR="009D2A66" w:rsidRDefault="009D2A66" w:rsidP="009D2A66">
      <w:pPr>
        <w:spacing w:before="100" w:beforeAutospacing="1" w:after="100" w:afterAutospacing="1"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Suite à la décision de l’Assemblée Générale, la prochaine conférence des recteurs de la région du Moyen-Orient (CONFREMO) se tiendra à </w:t>
      </w:r>
      <w:r w:rsidR="009A123D">
        <w:rPr>
          <w:rFonts w:asciiTheme="majorHAnsi" w:eastAsia="Times New Roman" w:hAnsiTheme="majorHAnsi" w:cstheme="majorHAnsi"/>
          <w:sz w:val="24"/>
          <w:szCs w:val="24"/>
          <w:lang w:eastAsia="fr-FR"/>
        </w:rPr>
        <w:t>l’Université de Chypre,</w:t>
      </w:r>
      <w:r w:rsidR="0032165B">
        <w:rPr>
          <w:rFonts w:asciiTheme="majorHAnsi" w:eastAsia="Times New Roman" w:hAnsiTheme="majorHAnsi" w:cstheme="majorHAnsi"/>
          <w:sz w:val="24"/>
          <w:szCs w:val="24"/>
          <w:lang w:eastAsia="fr-FR"/>
        </w:rPr>
        <w:t xml:space="preserve"> </w:t>
      </w:r>
      <w:r w:rsidR="0032165B" w:rsidRPr="005908E9">
        <w:rPr>
          <w:rFonts w:asciiTheme="majorHAnsi" w:eastAsia="Times New Roman" w:hAnsiTheme="majorHAnsi" w:cstheme="majorHAnsi"/>
          <w:sz w:val="24"/>
          <w:szCs w:val="24"/>
          <w:lang w:eastAsia="fr-FR"/>
        </w:rPr>
        <w:t>durant le</w:t>
      </w:r>
      <w:r w:rsidRPr="005908E9">
        <w:rPr>
          <w:rFonts w:asciiTheme="majorHAnsi" w:eastAsia="Times New Roman" w:hAnsiTheme="majorHAnsi" w:cstheme="majorHAnsi"/>
          <w:sz w:val="24"/>
          <w:szCs w:val="24"/>
          <w:lang w:eastAsia="fr-FR"/>
        </w:rPr>
        <w:t xml:space="preserve"> </w:t>
      </w:r>
      <w:r>
        <w:rPr>
          <w:rFonts w:asciiTheme="majorHAnsi" w:eastAsia="Times New Roman" w:hAnsiTheme="majorHAnsi" w:cstheme="majorHAnsi"/>
          <w:sz w:val="24"/>
          <w:szCs w:val="24"/>
          <w:lang w:eastAsia="fr-FR"/>
        </w:rPr>
        <w:t>dernier trimestre de l’année 2020.</w:t>
      </w:r>
    </w:p>
    <w:p w14:paraId="6DA7BFAF" w14:textId="57718F23" w:rsidR="00922D2C" w:rsidRDefault="00922D2C" w:rsidP="009D2A66">
      <w:pPr>
        <w:spacing w:before="100" w:beforeAutospacing="1" w:after="100" w:afterAutospacing="1" w:line="240" w:lineRule="auto"/>
        <w:rPr>
          <w:rFonts w:asciiTheme="majorHAnsi" w:eastAsia="Times New Roman" w:hAnsiTheme="majorHAnsi" w:cstheme="majorHAnsi"/>
          <w:sz w:val="24"/>
          <w:szCs w:val="24"/>
          <w:lang w:eastAsia="fr-FR"/>
        </w:rPr>
      </w:pPr>
    </w:p>
    <w:p w14:paraId="3A8D2794" w14:textId="543427E4" w:rsidR="00922D2C" w:rsidRDefault="00922D2C" w:rsidP="009D2A66">
      <w:pPr>
        <w:spacing w:before="100" w:beforeAutospacing="1" w:after="100" w:afterAutospacing="1" w:line="240" w:lineRule="auto"/>
        <w:rPr>
          <w:rFonts w:asciiTheme="majorHAnsi" w:eastAsia="Times New Roman" w:hAnsiTheme="majorHAnsi" w:cstheme="majorHAnsi"/>
          <w:sz w:val="24"/>
          <w:szCs w:val="24"/>
          <w:lang w:eastAsia="fr-FR"/>
        </w:rPr>
      </w:pPr>
    </w:p>
    <w:p w14:paraId="2AC32460" w14:textId="77777777" w:rsidR="00545F87" w:rsidRDefault="00545F87" w:rsidP="00922D2C">
      <w:pPr>
        <w:pStyle w:val="Corpsdetexte"/>
        <w:jc w:val="both"/>
        <w:rPr>
          <w:b/>
          <w:bCs/>
          <w:sz w:val="22"/>
          <w:szCs w:val="22"/>
        </w:rPr>
      </w:pPr>
    </w:p>
    <w:p w14:paraId="60FF053B" w14:textId="77777777" w:rsidR="005908E9" w:rsidRDefault="005908E9" w:rsidP="00922D2C">
      <w:pPr>
        <w:pStyle w:val="Corpsdetexte"/>
        <w:jc w:val="both"/>
        <w:rPr>
          <w:rStyle w:val="lev"/>
          <w:rFonts w:asciiTheme="majorHAnsi" w:eastAsiaTheme="minorHAnsi" w:hAnsiTheme="majorHAnsi" w:cstheme="majorHAnsi"/>
          <w:kern w:val="0"/>
          <w:sz w:val="22"/>
          <w:szCs w:val="22"/>
          <w:lang w:eastAsia="en-US" w:bidi="ar-SA"/>
        </w:rPr>
      </w:pPr>
    </w:p>
    <w:p w14:paraId="298ED2A3" w14:textId="7B5CB502" w:rsidR="00922D2C" w:rsidRPr="00C201A6" w:rsidRDefault="00922D2C" w:rsidP="00922D2C">
      <w:pPr>
        <w:pStyle w:val="Corpsdetexte"/>
        <w:jc w:val="both"/>
        <w:rPr>
          <w:rStyle w:val="lev"/>
          <w:rFonts w:asciiTheme="majorHAnsi" w:eastAsiaTheme="minorHAnsi" w:hAnsiTheme="majorHAnsi" w:cstheme="majorHAnsi"/>
          <w:kern w:val="0"/>
          <w:sz w:val="22"/>
          <w:szCs w:val="22"/>
          <w:lang w:eastAsia="en-US" w:bidi="ar-SA"/>
        </w:rPr>
      </w:pPr>
      <w:r w:rsidRPr="00C201A6">
        <w:rPr>
          <w:rStyle w:val="lev"/>
          <w:rFonts w:asciiTheme="majorHAnsi" w:eastAsiaTheme="minorHAnsi" w:hAnsiTheme="majorHAnsi" w:cstheme="majorHAnsi"/>
          <w:kern w:val="0"/>
          <w:sz w:val="22"/>
          <w:szCs w:val="22"/>
          <w:lang w:eastAsia="en-US" w:bidi="ar-SA"/>
        </w:rPr>
        <w:t>À propos de la CONFREMO</w:t>
      </w:r>
    </w:p>
    <w:p w14:paraId="67337182" w14:textId="6FCBE96F" w:rsidR="00922D2C" w:rsidRPr="00C201A6" w:rsidRDefault="00922D2C" w:rsidP="00922D2C">
      <w:pPr>
        <w:jc w:val="both"/>
        <w:rPr>
          <w:rStyle w:val="lev"/>
          <w:rFonts w:asciiTheme="majorHAnsi" w:hAnsiTheme="majorHAnsi" w:cstheme="majorHAnsi"/>
        </w:rPr>
      </w:pPr>
      <w:r w:rsidRPr="00C201A6">
        <w:rPr>
          <w:rStyle w:val="lev"/>
          <w:rFonts w:asciiTheme="majorHAnsi" w:hAnsiTheme="majorHAnsi" w:cstheme="majorHAnsi"/>
        </w:rPr>
        <w:t>La CONFREMO a été créée en 2007 sous l’égide de l’AUF. Elle rassemble aujourd’hui 4</w:t>
      </w:r>
      <w:r w:rsidR="00B05C67">
        <w:rPr>
          <w:rStyle w:val="lev"/>
          <w:rFonts w:asciiTheme="majorHAnsi" w:hAnsiTheme="majorHAnsi" w:cstheme="majorHAnsi"/>
        </w:rPr>
        <w:t>6</w:t>
      </w:r>
      <w:bookmarkStart w:id="2" w:name="_GoBack"/>
      <w:bookmarkEnd w:id="2"/>
      <w:r w:rsidRPr="00C201A6">
        <w:rPr>
          <w:rStyle w:val="lev"/>
          <w:rFonts w:asciiTheme="majorHAnsi" w:hAnsiTheme="majorHAnsi" w:cstheme="majorHAnsi"/>
        </w:rPr>
        <w:t xml:space="preserve"> Recteurs, Présidents des universités et Directeurs des institutions universitaires du Moyen-Orient, membres de l’Agence universitaire de la Francophonie, répartis dans treize pays de la région. Elle est constituée d’une Assemblée générale, qui se réunit annuellement, et d’un Bureau. L’objectif de cette Conférence est de promouvoir au niveau régional le débat, la réflexion et l’action sur la gouvernance des universités et les problèmes majeurs rencontrés dans le domaine de l’enseignement supérieur. Cette instance offre également la possibilité de développer des partenariats et des réseaux entre établissements d’enseignement supérieur au niveau mondial, et avec un certain nombre d’organismes internationaux, régionaux et nationaux.</w:t>
      </w:r>
    </w:p>
    <w:p w14:paraId="357795B6" w14:textId="77777777" w:rsidR="009D2A66" w:rsidRDefault="009D2A66" w:rsidP="009D2A66"/>
    <w:p w14:paraId="47B746A7" w14:textId="77777777" w:rsidR="009D2A66" w:rsidRDefault="009D2A66" w:rsidP="009D2A66">
      <w:pPr>
        <w:spacing w:after="150" w:line="240" w:lineRule="auto"/>
        <w:rPr>
          <w:rFonts w:ascii="Times New Roman" w:eastAsia="Times New Roman" w:hAnsi="Times New Roman" w:cs="Times New Roman"/>
          <w:color w:val="000000"/>
          <w:sz w:val="28"/>
          <w:szCs w:val="28"/>
        </w:rPr>
      </w:pPr>
      <w:r>
        <w:rPr>
          <w:rFonts w:eastAsia="Times New Roman" w:cs="Calibri"/>
          <w:b/>
          <w:bCs/>
          <w:color w:val="000000"/>
          <w:sz w:val="24"/>
          <w:szCs w:val="24"/>
        </w:rPr>
        <w:t>Contact Presse :</w:t>
      </w:r>
    </w:p>
    <w:p w14:paraId="5D1E3ED8" w14:textId="77777777" w:rsidR="009D2A66" w:rsidRDefault="009D2A66" w:rsidP="009D2A66">
      <w:pPr>
        <w:spacing w:line="240" w:lineRule="auto"/>
        <w:rPr>
          <w:rFonts w:ascii="Calibri" w:eastAsia="Times New Roman" w:hAnsi="Calibri" w:cs="Calibri"/>
          <w:color w:val="000000"/>
          <w:sz w:val="24"/>
          <w:szCs w:val="24"/>
        </w:rPr>
      </w:pPr>
      <w:r>
        <w:rPr>
          <w:rFonts w:eastAsia="Times New Roman" w:cs="Calibri"/>
          <w:color w:val="000000"/>
          <w:sz w:val="24"/>
          <w:szCs w:val="24"/>
        </w:rPr>
        <w:t>Joëlle RIACHI</w:t>
      </w:r>
      <w:r>
        <w:rPr>
          <w:rFonts w:eastAsia="Times New Roman" w:cs="Calibri"/>
          <w:color w:val="000000"/>
          <w:sz w:val="24"/>
          <w:szCs w:val="24"/>
        </w:rPr>
        <w:br/>
        <w:t>AUF Moyen-Orient</w:t>
      </w:r>
      <w:r>
        <w:rPr>
          <w:rFonts w:eastAsia="Times New Roman" w:cs="Calibri"/>
          <w:color w:val="000000"/>
          <w:sz w:val="24"/>
          <w:szCs w:val="24"/>
        </w:rPr>
        <w:br/>
      </w:r>
      <w:hyperlink r:id="rId6" w:history="1">
        <w:r>
          <w:rPr>
            <w:rStyle w:val="Lienhypertexte"/>
            <w:rFonts w:eastAsia="Times New Roman" w:cs="Calibri"/>
            <w:sz w:val="24"/>
            <w:szCs w:val="24"/>
          </w:rPr>
          <w:t>joelle.riachi@auf.org</w:t>
        </w:r>
      </w:hyperlink>
      <w:r>
        <w:rPr>
          <w:rFonts w:eastAsia="Times New Roman" w:cs="Calibri"/>
          <w:color w:val="000000"/>
          <w:sz w:val="24"/>
          <w:szCs w:val="24"/>
        </w:rPr>
        <w:br/>
        <w:t>Tél. : +961 1 420269</w:t>
      </w:r>
    </w:p>
    <w:p w14:paraId="6C5DDDED" w14:textId="77777777" w:rsidR="009D2A66" w:rsidRDefault="009D2A66" w:rsidP="009D2A66"/>
    <w:p w14:paraId="6817B7CB" w14:textId="77777777" w:rsidR="00002ECE" w:rsidRDefault="00002ECE"/>
    <w:sectPr w:rsidR="0000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Yu Gothic"/>
    <w:charset w:val="80"/>
    <w:family w:val="auto"/>
    <w:pitch w:val="variable"/>
  </w:font>
  <w:font w:name="Lohit Hindi">
    <w:altName w:val="Yu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66"/>
    <w:rsid w:val="00002ECE"/>
    <w:rsid w:val="001F073D"/>
    <w:rsid w:val="0032165B"/>
    <w:rsid w:val="00545F87"/>
    <w:rsid w:val="005908E9"/>
    <w:rsid w:val="005E0317"/>
    <w:rsid w:val="005F2456"/>
    <w:rsid w:val="00737E2C"/>
    <w:rsid w:val="007B4E52"/>
    <w:rsid w:val="00922D2C"/>
    <w:rsid w:val="009604A3"/>
    <w:rsid w:val="009A123D"/>
    <w:rsid w:val="009D2A66"/>
    <w:rsid w:val="00A1041C"/>
    <w:rsid w:val="00B05C67"/>
    <w:rsid w:val="00C201A6"/>
    <w:rsid w:val="00EA58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3267"/>
  <w15:chartTrackingRefBased/>
  <w15:docId w15:val="{F95386E9-15BD-4C74-82EC-4F39D08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6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2A66"/>
    <w:rPr>
      <w:color w:val="0000FF"/>
      <w:u w:val="single"/>
    </w:rPr>
  </w:style>
  <w:style w:type="character" w:styleId="lev">
    <w:name w:val="Strong"/>
    <w:basedOn w:val="Policepardfaut"/>
    <w:uiPriority w:val="22"/>
    <w:qFormat/>
    <w:rsid w:val="009D2A66"/>
    <w:rPr>
      <w:b/>
      <w:bCs/>
    </w:rPr>
  </w:style>
  <w:style w:type="paragraph" w:styleId="Corpsdetexte">
    <w:name w:val="Body Text"/>
    <w:basedOn w:val="Normal"/>
    <w:link w:val="CorpsdetexteCar"/>
    <w:rsid w:val="00922D2C"/>
    <w:pPr>
      <w:widowControl w:val="0"/>
      <w:suppressAutoHyphens/>
      <w:spacing w:after="120" w:line="240" w:lineRule="auto"/>
    </w:pPr>
    <w:rPr>
      <w:rFonts w:ascii="Times New Roman" w:eastAsia="Droid Sans Fallback" w:hAnsi="Times New Roman" w:cs="Lohit Hindi"/>
      <w:kern w:val="1"/>
      <w:sz w:val="24"/>
      <w:szCs w:val="24"/>
      <w:lang w:eastAsia="zh-CN" w:bidi="hi-IN"/>
    </w:rPr>
  </w:style>
  <w:style w:type="character" w:customStyle="1" w:styleId="CorpsdetexteCar">
    <w:name w:val="Corps de texte Car"/>
    <w:basedOn w:val="Policepardfaut"/>
    <w:link w:val="Corpsdetexte"/>
    <w:rsid w:val="00922D2C"/>
    <w:rPr>
      <w:rFonts w:ascii="Times New Roman" w:eastAsia="Droid Sans Fallback" w:hAnsi="Times New Roman" w:cs="Lohit Hindi"/>
      <w:kern w:val="1"/>
      <w:sz w:val="24"/>
      <w:szCs w:val="24"/>
      <w:lang w:eastAsia="zh-CN" w:bidi="hi-IN"/>
    </w:rPr>
  </w:style>
  <w:style w:type="paragraph" w:styleId="Textedebulles">
    <w:name w:val="Balloon Text"/>
    <w:basedOn w:val="Normal"/>
    <w:link w:val="TextedebullesCar"/>
    <w:uiPriority w:val="99"/>
    <w:semiHidden/>
    <w:unhideWhenUsed/>
    <w:rsid w:val="005F24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2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3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18</cp:revision>
  <dcterms:created xsi:type="dcterms:W3CDTF">2019-11-18T12:34:00Z</dcterms:created>
  <dcterms:modified xsi:type="dcterms:W3CDTF">2019-12-06T13:56:00Z</dcterms:modified>
</cp:coreProperties>
</file>